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FB809" w14:textId="77777777" w:rsidR="00F97A72" w:rsidRPr="00597737" w:rsidRDefault="00F97A72" w:rsidP="00F97A72">
      <w:pPr>
        <w:spacing w:before="300" w:after="300"/>
        <w:jc w:val="center"/>
        <w:rPr>
          <w:rFonts w:ascii="Times" w:hAnsi="Times" w:cs="Times New Roman"/>
          <w:sz w:val="20"/>
          <w:szCs w:val="20"/>
          <w:lang w:val="pt-BR" w:eastAsia="en-US"/>
        </w:rPr>
      </w:pPr>
      <w:r w:rsidRPr="00597737">
        <w:rPr>
          <w:rFonts w:ascii="Arial" w:hAnsi="Arial" w:cs="Arial"/>
          <w:b/>
          <w:bCs/>
          <w:color w:val="000080"/>
          <w:sz w:val="20"/>
          <w:szCs w:val="20"/>
          <w:u w:val="single"/>
          <w:lang w:val="pt-BR" w:eastAsia="en-US"/>
        </w:rPr>
        <w:t>LEI N</w:t>
      </w:r>
      <w:r w:rsidRPr="00597737">
        <w:rPr>
          <w:rFonts w:ascii="Arial" w:hAnsi="Arial" w:cs="Arial"/>
          <w:b/>
          <w:bCs/>
          <w:color w:val="000080"/>
          <w:sz w:val="20"/>
          <w:szCs w:val="20"/>
          <w:u w:val="single"/>
          <w:vertAlign w:val="superscript"/>
          <w:lang w:val="pt-BR" w:eastAsia="en-US"/>
        </w:rPr>
        <w:t>o</w:t>
      </w:r>
      <w:r w:rsidRPr="00597737">
        <w:rPr>
          <w:rFonts w:ascii="Arial" w:hAnsi="Arial" w:cs="Arial"/>
          <w:b/>
          <w:bCs/>
          <w:color w:val="000080"/>
          <w:sz w:val="20"/>
          <w:szCs w:val="20"/>
          <w:u w:val="single"/>
          <w:lang w:val="pt-BR" w:eastAsia="en-US"/>
        </w:rPr>
        <w:t xml:space="preserve"> XX.XXX, DE XX DE XXXXX DE XXXX.</w:t>
      </w:r>
    </w:p>
    <w:tbl>
      <w:tblPr>
        <w:tblW w:w="5000" w:type="pct"/>
        <w:tblCellSpacing w:w="0" w:type="dxa"/>
        <w:tblCellMar>
          <w:left w:w="0" w:type="dxa"/>
          <w:right w:w="0" w:type="dxa"/>
        </w:tblCellMar>
        <w:tblLook w:val="04A0" w:firstRow="1" w:lastRow="0" w:firstColumn="1" w:lastColumn="0" w:noHBand="0" w:noVBand="1"/>
      </w:tblPr>
      <w:tblGrid>
        <w:gridCol w:w="4150"/>
        <w:gridCol w:w="4150"/>
      </w:tblGrid>
      <w:tr w:rsidR="00F97A72" w:rsidRPr="008E356C" w14:paraId="547F53EF" w14:textId="77777777" w:rsidTr="00F97A72">
        <w:trPr>
          <w:tblCellSpacing w:w="0" w:type="dxa"/>
        </w:trPr>
        <w:tc>
          <w:tcPr>
            <w:tcW w:w="2500" w:type="pct"/>
            <w:vAlign w:val="center"/>
            <w:hideMark/>
          </w:tcPr>
          <w:p w14:paraId="31942FF9" w14:textId="77777777" w:rsidR="00F97A72" w:rsidRPr="00597737" w:rsidRDefault="00F97A72" w:rsidP="00F97A72">
            <w:pPr>
              <w:spacing w:after="0"/>
              <w:rPr>
                <w:rFonts w:ascii="Arial" w:eastAsia="Times New Roman" w:hAnsi="Arial" w:cs="Arial"/>
                <w:sz w:val="20"/>
                <w:szCs w:val="20"/>
                <w:lang w:val="pt-BR" w:eastAsia="en-US"/>
              </w:rPr>
            </w:pPr>
            <w:r w:rsidRPr="00597737">
              <w:rPr>
                <w:rFonts w:ascii="Arial" w:eastAsia="Times New Roman" w:hAnsi="Arial" w:cs="Arial"/>
                <w:sz w:val="20"/>
                <w:szCs w:val="20"/>
                <w:lang w:val="pt-BR" w:eastAsia="en-US"/>
              </w:rPr>
              <w:t> </w:t>
            </w:r>
          </w:p>
        </w:tc>
        <w:tc>
          <w:tcPr>
            <w:tcW w:w="2500" w:type="pct"/>
            <w:vAlign w:val="center"/>
            <w:hideMark/>
          </w:tcPr>
          <w:p w14:paraId="1D01434B" w14:textId="77777777" w:rsidR="00F97A72" w:rsidRPr="00597737" w:rsidRDefault="00F97A72" w:rsidP="00F97A72">
            <w:pPr>
              <w:spacing w:before="100" w:beforeAutospacing="1" w:after="100" w:afterAutospacing="1"/>
              <w:rPr>
                <w:rFonts w:ascii="Arial" w:hAnsi="Arial" w:cs="Arial"/>
                <w:sz w:val="20"/>
                <w:szCs w:val="20"/>
                <w:lang w:val="pt-BR" w:eastAsia="en-US"/>
              </w:rPr>
            </w:pPr>
            <w:r w:rsidRPr="00597737">
              <w:rPr>
                <w:rFonts w:ascii="Arial" w:hAnsi="Arial" w:cs="Arial"/>
                <w:color w:val="800000"/>
                <w:sz w:val="20"/>
                <w:szCs w:val="20"/>
                <w:lang w:val="pt-BR" w:eastAsia="en-US"/>
              </w:rPr>
              <w:t>Altera a Lei nº 11.909, de 4 de março de 2009, que "dispõe sobre as atividades relativas ao transporte de gás natural, de que trata o art. 177 da Constituição Federal, bem como sobre as atividades de tratamento, processamento, estocagem, liquefação, regaseificação e comercialização de gás natural".</w:t>
            </w:r>
          </w:p>
        </w:tc>
      </w:tr>
    </w:tbl>
    <w:p w14:paraId="33C3E0CD" w14:textId="77777777" w:rsidR="00F97A72" w:rsidRPr="00B06B7B" w:rsidRDefault="00F97A72" w:rsidP="00597737">
      <w:pPr>
        <w:spacing w:before="300" w:after="300"/>
        <w:ind w:firstLine="567"/>
        <w:jc w:val="both"/>
        <w:rPr>
          <w:rFonts w:ascii="Arial" w:hAnsi="Arial" w:cs="Arial"/>
          <w:color w:val="000000"/>
          <w:sz w:val="20"/>
          <w:szCs w:val="20"/>
          <w:lang w:val="pt-BR" w:eastAsia="en-US"/>
        </w:rPr>
      </w:pPr>
      <w:r w:rsidRPr="00B06B7B">
        <w:rPr>
          <w:rFonts w:ascii="Arial" w:hAnsi="Arial" w:cs="Arial"/>
          <w:b/>
          <w:bCs/>
          <w:color w:val="000000"/>
          <w:sz w:val="20"/>
          <w:szCs w:val="20"/>
          <w:lang w:val="pt-BR" w:eastAsia="en-US"/>
        </w:rPr>
        <w:t>O PRESIDENTE DA REPÚBLICA</w:t>
      </w:r>
      <w:r w:rsidRPr="00B06B7B">
        <w:rPr>
          <w:rFonts w:ascii="Arial" w:hAnsi="Arial" w:cs="Arial"/>
          <w:color w:val="000000"/>
          <w:sz w:val="20"/>
          <w:szCs w:val="20"/>
          <w:lang w:val="pt-BR" w:eastAsia="en-US"/>
        </w:rPr>
        <w:t> Faço saber que o Congresso Nacional decreta e eu sanciono a seguinte Lei: </w:t>
      </w:r>
    </w:p>
    <w:p w14:paraId="7C93DE4D" w14:textId="77777777" w:rsidR="00F97A72" w:rsidRPr="00B06B7B" w:rsidRDefault="00F97A72" w:rsidP="00597737">
      <w:pPr>
        <w:spacing w:before="300" w:after="300"/>
        <w:ind w:firstLine="567"/>
        <w:jc w:val="both"/>
        <w:rPr>
          <w:rFonts w:ascii="Arial" w:hAnsi="Arial" w:cs="Arial"/>
          <w:color w:val="000000"/>
          <w:sz w:val="20"/>
          <w:szCs w:val="20"/>
          <w:lang w:val="pt-BR" w:eastAsia="en-US"/>
        </w:rPr>
      </w:pPr>
      <w:bookmarkStart w:id="0" w:name="art1"/>
      <w:bookmarkEnd w:id="0"/>
      <w:r w:rsidRPr="00B06B7B">
        <w:rPr>
          <w:rFonts w:ascii="Arial" w:hAnsi="Arial" w:cs="Arial"/>
          <w:color w:val="000000"/>
          <w:sz w:val="20"/>
          <w:szCs w:val="20"/>
          <w:lang w:val="pt-BR" w:eastAsia="en-US"/>
        </w:rPr>
        <w:t>Art. 1</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 Lei n</w:t>
      </w:r>
      <w:r w:rsidRPr="00B06B7B">
        <w:rPr>
          <w:rFonts w:ascii="Arial" w:hAnsi="Arial" w:cs="Arial"/>
          <w:color w:val="000000"/>
          <w:sz w:val="20"/>
          <w:szCs w:val="20"/>
          <w:u w:val="single"/>
          <w:vertAlign w:val="superscript"/>
          <w:lang w:val="pt-BR" w:eastAsia="en-US"/>
        </w:rPr>
        <w:t xml:space="preserve"> o</w:t>
      </w:r>
      <w:r w:rsidRPr="00B06B7B">
        <w:rPr>
          <w:rFonts w:ascii="Arial" w:hAnsi="Arial" w:cs="Arial"/>
          <w:color w:val="000000"/>
          <w:sz w:val="20"/>
          <w:szCs w:val="20"/>
          <w:lang w:val="pt-BR" w:eastAsia="en-US"/>
        </w:rPr>
        <w:t xml:space="preserve">  11.909, de 4 de março de 2009, passa a vigorar com as seguintes alterações: </w:t>
      </w:r>
    </w:p>
    <w:p w14:paraId="4FC43B44" w14:textId="18E4B74B"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sidR="00AE369D" w:rsidRPr="00612E72">
        <w:rPr>
          <w:rFonts w:ascii="Arial" w:hAnsi="Arial" w:cs="Arial"/>
          <w:color w:val="000000"/>
          <w:sz w:val="20"/>
          <w:szCs w:val="20"/>
          <w:lang w:val="pt-BR" w:eastAsia="en-US"/>
        </w:rPr>
        <w:t>2</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36226CF5" w14:textId="7777777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071124AC" w14:textId="12C8DDF6"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XXXIV - Área de mercado</w:t>
      </w:r>
      <w:r>
        <w:rPr>
          <w:rFonts w:ascii="Arial" w:hAnsi="Arial" w:cs="Arial"/>
          <w:color w:val="000000"/>
          <w:sz w:val="20"/>
          <w:szCs w:val="20"/>
          <w:lang w:val="pt-BR" w:eastAsia="en-US"/>
        </w:rPr>
        <w:t xml:space="preserve"> de capacidade</w:t>
      </w:r>
      <w:r w:rsidRPr="009E7693">
        <w:rPr>
          <w:rFonts w:ascii="Arial" w:hAnsi="Arial" w:cs="Arial"/>
          <w:color w:val="000000"/>
          <w:sz w:val="20"/>
          <w:szCs w:val="20"/>
          <w:lang w:val="pt-BR" w:eastAsia="en-US"/>
        </w:rPr>
        <w:t>: delimitação do sistema de transporte onde os carregadores potenciais poderão contratar serviços de transporte padronizados, oferecidos de forma conjunta e coordenada pelos transportadores;</w:t>
      </w:r>
    </w:p>
    <w:p w14:paraId="37B89082" w14:textId="77777777" w:rsidR="009E7693" w:rsidRP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xml:space="preserve">XXXV - Base Regulatória de Ativos: representa o conjunto de ativos diretamente relacionados à atividade de transporte de gás natural; </w:t>
      </w:r>
    </w:p>
    <w:p w14:paraId="3E8CA3A4" w14:textId="7777777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XXXVI - Certificação de independência do transportador ou Certificação de independência: procedimento para a verificação do enquadramento do transportador nos modelos de independência e autonomia, com base em regras estabelecidas pela ANP;</w:t>
      </w:r>
    </w:p>
    <w:p w14:paraId="346EB14E" w14:textId="7777777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XXXVII - Sistema de transporte: sistema formado por gasodutos interconectados. </w:t>
      </w:r>
    </w:p>
    <w:p w14:paraId="52211C61" w14:textId="7E4B34EE" w:rsidR="00F97A72" w:rsidRPr="00612E72" w:rsidRDefault="00E05AF9"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w:t>
      </w:r>
      <w:r w:rsidR="00AE369D" w:rsidRPr="00B06B7B">
        <w:rPr>
          <w:rFonts w:ascii="Arial" w:hAnsi="Arial" w:cs="Arial"/>
          <w:color w:val="000000"/>
          <w:sz w:val="20"/>
          <w:szCs w:val="20"/>
          <w:lang w:val="pt-BR" w:eastAsia="en-US"/>
        </w:rPr>
        <w:t xml:space="preserve"> </w:t>
      </w:r>
      <w:r w:rsidR="00F97A72" w:rsidRPr="00612E72">
        <w:rPr>
          <w:rFonts w:ascii="Arial" w:hAnsi="Arial" w:cs="Arial"/>
          <w:color w:val="000000"/>
          <w:sz w:val="20"/>
          <w:szCs w:val="20"/>
          <w:lang w:val="pt-BR" w:eastAsia="en-US"/>
        </w:rPr>
        <w:t>..........................................................</w:t>
      </w:r>
      <w:r w:rsidR="00612E72">
        <w:rPr>
          <w:rFonts w:ascii="Arial" w:hAnsi="Arial" w:cs="Arial"/>
          <w:color w:val="000000"/>
          <w:sz w:val="20"/>
          <w:szCs w:val="20"/>
          <w:lang w:val="pt-BR" w:eastAsia="en-US"/>
        </w:rPr>
        <w:t>.........................”</w:t>
      </w:r>
    </w:p>
    <w:p w14:paraId="17CC4526" w14:textId="77777777" w:rsidR="00E05AF9" w:rsidRPr="00612E72" w:rsidRDefault="00E05AF9"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Pr>
          <w:rFonts w:ascii="Arial" w:hAnsi="Arial" w:cs="Arial"/>
          <w:color w:val="000000"/>
          <w:sz w:val="20"/>
          <w:szCs w:val="20"/>
          <w:lang w:val="pt-BR" w:eastAsia="en-US"/>
        </w:rPr>
        <w:t>3</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128570D0" w14:textId="77777777" w:rsidR="00E05AF9" w:rsidRPr="00612E72" w:rsidRDefault="00E05AF9"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19D61E2F" w14:textId="77777777" w:rsidR="001B01A4" w:rsidRDefault="00E05AF9" w:rsidP="001B01A4">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1</w:t>
      </w:r>
      <w:r w:rsidRPr="00E05AF9">
        <w:rPr>
          <w:rFonts w:ascii="Arial" w:hAnsi="Arial" w:cs="Arial"/>
          <w:color w:val="000000"/>
          <w:sz w:val="20"/>
          <w:szCs w:val="20"/>
          <w:u w:val="single"/>
          <w:vertAlign w:val="superscript"/>
          <w:lang w:val="pt-BR" w:eastAsia="en-US"/>
        </w:rPr>
        <w:t>o</w:t>
      </w:r>
      <w:r w:rsidRPr="00E05AF9">
        <w:rPr>
          <w:rFonts w:ascii="Arial" w:hAnsi="Arial" w:cs="Arial"/>
          <w:color w:val="000000"/>
          <w:sz w:val="20"/>
          <w:szCs w:val="20"/>
          <w:lang w:val="pt-BR" w:eastAsia="en-US"/>
        </w:rPr>
        <w:t>  O regime de autorização de que trata o inciso II do </w:t>
      </w:r>
      <w:r w:rsidRPr="00E05AF9">
        <w:rPr>
          <w:rFonts w:ascii="Arial" w:hAnsi="Arial" w:cs="Arial"/>
          <w:b/>
          <w:bCs/>
          <w:color w:val="000000"/>
          <w:sz w:val="20"/>
          <w:szCs w:val="20"/>
          <w:lang w:val="pt-BR" w:eastAsia="en-US"/>
        </w:rPr>
        <w:t>caput </w:t>
      </w:r>
      <w:r w:rsidRPr="00E05AF9">
        <w:rPr>
          <w:rFonts w:ascii="Arial" w:hAnsi="Arial" w:cs="Arial"/>
          <w:color w:val="000000"/>
          <w:sz w:val="20"/>
          <w:szCs w:val="20"/>
          <w:lang w:val="pt-BR" w:eastAsia="en-US"/>
        </w:rPr>
        <w:t>deste artigo aplicar-se-á aos gasodutos de transporte propostos por empresas ou consórcio de empresas que atendam aos requisitos estabelecidos na Legislação,</w:t>
      </w:r>
      <w:r>
        <w:rPr>
          <w:rFonts w:ascii="Arial" w:hAnsi="Arial" w:cs="Arial"/>
          <w:color w:val="000000"/>
          <w:sz w:val="20"/>
          <w:szCs w:val="20"/>
          <w:lang w:val="pt-BR" w:eastAsia="en-US"/>
        </w:rPr>
        <w:t xml:space="preserve"> </w:t>
      </w:r>
      <w:r w:rsidRPr="00E05AF9">
        <w:rPr>
          <w:rFonts w:ascii="Arial" w:hAnsi="Arial" w:cs="Arial"/>
          <w:color w:val="000000"/>
          <w:sz w:val="20"/>
          <w:szCs w:val="20"/>
          <w:lang w:val="pt-BR" w:eastAsia="en-US"/>
        </w:rPr>
        <w:t>nos termos do art. 56 da Lei no 9.478, de 6 de agosto de 1997, enquanto o regime de concessão aplicar-se-á aos gasodutos de transporte propostos pelo Ministério de Minas e Energia. </w:t>
      </w:r>
    </w:p>
    <w:p w14:paraId="63C5EC34" w14:textId="0B0F0FD5" w:rsidR="00E05AF9" w:rsidRPr="00E05AF9" w:rsidRDefault="00E05AF9"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xml:space="preserve"> ” (NR) </w:t>
      </w:r>
    </w:p>
    <w:p w14:paraId="3D775A23" w14:textId="5309CE17" w:rsidR="00AE369D" w:rsidRDefault="00AE369D"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"Art. 3</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-A empresa ou o consórcio de empresas concessionários ou autorizados para o exercício da atividade de transporte de gás natural devem construir, expandir e operar as instalações de transporte com </w:t>
      </w:r>
      <w:r w:rsidRPr="00B06B7B">
        <w:rPr>
          <w:rFonts w:ascii="Arial" w:hAnsi="Arial" w:cs="Arial"/>
          <w:color w:val="000000"/>
          <w:sz w:val="20"/>
          <w:szCs w:val="20"/>
          <w:lang w:val="pt-BR" w:eastAsia="en-US"/>
        </w:rPr>
        <w:lastRenderedPageBreak/>
        <w:t>autonomia e independência com relação às atividades potencialmente concorrenciais da cadeia de valor da indústria do gás natural, sendo vedada a sua relação societária direta ou indireta de exercer ou ser exercida de controle, ou de coligação, nos termos da Lei nº 6.404, de 16 de dezembro de 1976, com empresas ou consórcio de empresas que atuem ou exerçam funções nas atividades de exploração, desenvolvimento, produção, importação, carregamento e comercialização de gás natural</w:t>
      </w:r>
      <w:r w:rsidRPr="00612E72">
        <w:rPr>
          <w:rFonts w:ascii="Arial" w:hAnsi="Arial" w:cs="Arial"/>
          <w:color w:val="000000"/>
          <w:sz w:val="20"/>
          <w:szCs w:val="20"/>
          <w:lang w:val="pt-BR" w:eastAsia="en-US"/>
        </w:rPr>
        <w:t xml:space="preserve">.  </w:t>
      </w:r>
    </w:p>
    <w:p w14:paraId="2677FABE" w14:textId="7ED52C1A" w:rsidR="00AE369D" w:rsidRDefault="00AE369D" w:rsidP="00C87683">
      <w:pPr>
        <w:spacing w:before="300" w:after="300"/>
        <w:ind w:left="1724" w:hanging="23"/>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1</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O(s) responsável(is) para a escolha de membros do conselho de administração ou da diretoria ou de representante legal da empresa ou o consórcio de empresas concessionários ou autorizados para o exercício da atividade de transporte de gás natural não pode(m) ser a(s) mesma(s) pessoa(s) que possui(em) a responsabilidade de escolher os  membros do conselho de administração ou da diretoria ou de representante legal de empresas ou consórcio de empresas que atuem ou exerçam funções nas atividades de exploração, desenvolvimento, produção, importação, carregamento e comercialização de gás natural.</w:t>
      </w:r>
    </w:p>
    <w:p w14:paraId="63DB13ED" w14:textId="11D6218B" w:rsidR="00AE369D" w:rsidRDefault="00AE369D" w:rsidP="00C87683">
      <w:pPr>
        <w:spacing w:before="300" w:after="300"/>
        <w:ind w:left="1724" w:hanging="23"/>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A empresa ou o consórcio de empresas que tenha sido autorizado ou que tenha celebrado contrato de concessão para o exercício da atividade de transporte de gás natural até a data da publicação desta Lei e não preencha os requisitos e critérios de autonomia e independência estabelecidos no caput e no § 1</w:t>
      </w:r>
      <w:r w:rsidRPr="00597737">
        <w:rPr>
          <w:rFonts w:ascii="Arial" w:hAnsi="Arial" w:cs="Arial"/>
          <w:color w:val="000000"/>
          <w:sz w:val="20"/>
          <w:szCs w:val="20"/>
          <w:vertAlign w:val="superscript"/>
          <w:lang w:val="pt-BR" w:eastAsia="en-US"/>
        </w:rPr>
        <w:t xml:space="preserve">o </w:t>
      </w:r>
      <w:r w:rsidRPr="00B06B7B">
        <w:rPr>
          <w:rFonts w:ascii="Arial" w:hAnsi="Arial" w:cs="Arial"/>
          <w:color w:val="000000"/>
          <w:sz w:val="20"/>
          <w:szCs w:val="20"/>
          <w:lang w:val="pt-BR" w:eastAsia="en-US"/>
        </w:rPr>
        <w:t xml:space="preserve">poderão, alternativamente, se submeter à certificação de independência </w:t>
      </w:r>
      <w:r w:rsidR="00B06B7B">
        <w:rPr>
          <w:rFonts w:ascii="Arial" w:hAnsi="Arial" w:cs="Arial"/>
          <w:color w:val="000000"/>
          <w:sz w:val="20"/>
          <w:szCs w:val="20"/>
          <w:lang w:val="pt-BR" w:eastAsia="en-US"/>
        </w:rPr>
        <w:t>expedida pela</w:t>
      </w:r>
      <w:r w:rsidRPr="00B06B7B">
        <w:rPr>
          <w:rFonts w:ascii="Arial" w:hAnsi="Arial" w:cs="Arial"/>
          <w:color w:val="000000"/>
          <w:sz w:val="20"/>
          <w:szCs w:val="20"/>
          <w:lang w:val="pt-BR" w:eastAsia="en-US"/>
        </w:rPr>
        <w:t xml:space="preserve"> ANP."</w:t>
      </w:r>
    </w:p>
    <w:p w14:paraId="14CECCCD" w14:textId="6A20C78E" w:rsidR="00E05AF9" w:rsidRDefault="00F97A72" w:rsidP="00C87683">
      <w:pPr>
        <w:spacing w:before="300" w:after="300"/>
        <w:ind w:left="1724" w:hanging="23"/>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w:t>
      </w:r>
      <w:r w:rsidR="00E05AF9" w:rsidRPr="00612E72">
        <w:rPr>
          <w:rFonts w:ascii="Arial" w:hAnsi="Arial" w:cs="Arial"/>
          <w:color w:val="000000"/>
          <w:sz w:val="20"/>
          <w:szCs w:val="20"/>
          <w:lang w:val="pt-BR" w:eastAsia="en-US"/>
        </w:rPr>
        <w:t xml:space="preserve">“Art. </w:t>
      </w:r>
      <w:r w:rsidR="00E05AF9">
        <w:rPr>
          <w:rFonts w:ascii="Arial" w:hAnsi="Arial" w:cs="Arial"/>
          <w:color w:val="000000"/>
          <w:sz w:val="20"/>
          <w:szCs w:val="20"/>
          <w:lang w:val="pt-BR" w:eastAsia="en-US"/>
        </w:rPr>
        <w:t>4</w:t>
      </w:r>
      <w:r w:rsidR="00E05AF9" w:rsidRPr="00612E72">
        <w:rPr>
          <w:rFonts w:ascii="Arial" w:hAnsi="Arial" w:cs="Arial"/>
          <w:color w:val="000000"/>
          <w:sz w:val="20"/>
          <w:szCs w:val="20"/>
          <w:u w:val="single"/>
          <w:vertAlign w:val="superscript"/>
          <w:lang w:val="pt-BR" w:eastAsia="en-US"/>
        </w:rPr>
        <w:t>o</w:t>
      </w:r>
      <w:r w:rsidR="00E05AF9" w:rsidRPr="00612E72">
        <w:rPr>
          <w:rFonts w:ascii="Arial" w:hAnsi="Arial" w:cs="Arial"/>
          <w:color w:val="000000"/>
          <w:sz w:val="20"/>
          <w:szCs w:val="20"/>
          <w:lang w:val="pt-BR" w:eastAsia="en-US"/>
        </w:rPr>
        <w:t>  </w:t>
      </w:r>
      <w:r w:rsidR="00E05AF9" w:rsidRPr="00E05AF9">
        <w:rPr>
          <w:rFonts w:ascii="Arial" w:hAnsi="Arial" w:cs="Arial"/>
          <w:color w:val="000000"/>
          <w:sz w:val="20"/>
          <w:szCs w:val="20"/>
          <w:lang w:val="pt-BR" w:eastAsia="en-US"/>
        </w:rPr>
        <w:t>O Ministério de Minas e Energia poderá propor, por iniciativa própria, a construção ou ampliação de gasodutos de transporte, estabelecendo diretrizes para o processo de contratação de capacidade de transporte. </w:t>
      </w:r>
    </w:p>
    <w:p w14:paraId="5C939908" w14:textId="77777777" w:rsidR="00E05AF9" w:rsidRPr="009E7693" w:rsidRDefault="00E05AF9"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(NR) </w:t>
      </w:r>
    </w:p>
    <w:p w14:paraId="1B8ABCE0" w14:textId="56E63CD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sidR="00086F67" w:rsidRPr="00612E72">
        <w:rPr>
          <w:rFonts w:ascii="Arial" w:hAnsi="Arial" w:cs="Arial"/>
          <w:color w:val="000000"/>
          <w:sz w:val="20"/>
          <w:szCs w:val="20"/>
          <w:lang w:val="pt-BR" w:eastAsia="en-US"/>
        </w:rPr>
        <w:t>5</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347C8FBA" w14:textId="7777777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2671C435" w14:textId="77777777" w:rsidR="00086F67" w:rsidRPr="00B06B7B"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5</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 construção ou ampliação de gasodutos que prever ou acarretar a interconexão entre gasodutos deverá observar as disposições do Art. 9</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inclusive com relação ao processo de chamada pública. </w:t>
      </w:r>
    </w:p>
    <w:p w14:paraId="611905AD" w14:textId="59B8ED3B" w:rsidR="00F97A72" w:rsidRPr="009E7693" w:rsidRDefault="00F97A72"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(NR) </w:t>
      </w:r>
    </w:p>
    <w:p w14:paraId="294E6279" w14:textId="5E003BE5" w:rsidR="00086F67" w:rsidRPr="009E7693" w:rsidRDefault="00086F67"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“Art. 9</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w:t>
      </w:r>
    </w:p>
    <w:p w14:paraId="3F247C65" w14:textId="77777777" w:rsidR="00086F67" w:rsidRPr="009E7693" w:rsidRDefault="00086F67"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w:t>
      </w:r>
    </w:p>
    <w:p w14:paraId="65A2EC51" w14:textId="3EF7D8F2"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1</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xml:space="preserve">  A ANP regulará a formação de áreas de mercado </w:t>
      </w:r>
      <w:r w:rsidR="009E7693">
        <w:rPr>
          <w:rFonts w:ascii="Arial" w:hAnsi="Arial" w:cs="Arial"/>
          <w:color w:val="000000"/>
          <w:sz w:val="20"/>
          <w:szCs w:val="20"/>
          <w:lang w:val="pt-BR" w:eastAsia="en-US"/>
        </w:rPr>
        <w:t xml:space="preserve">de capacidade </w:t>
      </w:r>
      <w:r w:rsidRPr="00B06B7B">
        <w:rPr>
          <w:rFonts w:ascii="Arial" w:hAnsi="Arial" w:cs="Arial"/>
          <w:color w:val="000000"/>
          <w:sz w:val="20"/>
          <w:szCs w:val="20"/>
          <w:lang w:val="pt-BR" w:eastAsia="en-US"/>
        </w:rPr>
        <w:t>no sistema de transporte composto por gasodutos interconectados, assim como o processo de fusão entre áreas, com o objetivo de progressiva diminuição do número de áreas.</w:t>
      </w:r>
    </w:p>
    <w:p w14:paraId="3650C09C" w14:textId="77777777"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Os transportadores se obrigam a cooperar para oferecer capacidade de transporte de forma conjunta e transparente aos carregadores potenciais na área de mercado e para transportar gás natural por meio do sistema de transporte de forma coordenada;</w:t>
      </w:r>
    </w:p>
    <w:p w14:paraId="278CBCFA" w14:textId="275329DF"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lastRenderedPageBreak/>
        <w:t>§ 3</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Os serviços de transporte padronizados a serem oferecidos de forma conjunta pelos transportadores da área de mercado de capacidade devem ser estruturados para permitir que cada transportador obtenha receita suficiente para arcar com seus custos e despesas vinculados à prestação dos serviços, obrigações tributárias, assim como para a obtenção da remuneração justa e adequada ao investimento em bens e instalações vinculados à prestação dos serviços de transporte e a depreciação e amortização das suas respectivas bases regulatórias de ativos</w:t>
      </w:r>
      <w:r>
        <w:rPr>
          <w:rFonts w:ascii="Arial" w:hAnsi="Arial" w:cs="Arial"/>
          <w:color w:val="000000"/>
          <w:sz w:val="20"/>
          <w:szCs w:val="20"/>
          <w:lang w:val="pt-BR" w:eastAsia="en-US"/>
        </w:rPr>
        <w:t>.</w:t>
      </w:r>
    </w:p>
    <w:p w14:paraId="05096AC7" w14:textId="77777777" w:rsidR="00EC63AB" w:rsidRDefault="00EC63AB" w:rsidP="00597737">
      <w:pPr>
        <w:spacing w:before="300" w:after="300"/>
        <w:ind w:left="1724" w:firstLine="567"/>
        <w:jc w:val="both"/>
        <w:rPr>
          <w:rFonts w:ascii="Arial" w:hAnsi="Arial" w:cs="Arial"/>
          <w:color w:val="000000"/>
          <w:sz w:val="20"/>
          <w:szCs w:val="20"/>
          <w:lang w:val="pt-BR" w:eastAsia="en-US"/>
        </w:rPr>
      </w:pPr>
    </w:p>
    <w:p w14:paraId="1CEE71A8" w14:textId="5D3A8C6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4</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A ANP regulará as bases para a cooperação entre transportadores e a padronização dos serviços de transporte de que tratam os §§ 1</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 xml:space="preserve"> , 2</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 xml:space="preserve"> e 3</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w:t>
      </w:r>
    </w:p>
    <w:p w14:paraId="241B8D1D" w14:textId="77777777" w:rsidR="00086F67" w:rsidRPr="009F4FCE" w:rsidRDefault="00086F67" w:rsidP="00597737">
      <w:pPr>
        <w:spacing w:before="300" w:after="300"/>
        <w:ind w:left="1724" w:firstLine="567"/>
        <w:jc w:val="both"/>
        <w:rPr>
          <w:rFonts w:ascii="Arial" w:hAnsi="Arial" w:cs="Arial"/>
          <w:color w:val="000000"/>
          <w:sz w:val="20"/>
          <w:szCs w:val="20"/>
          <w:lang w:val="pt-BR" w:eastAsia="en-US"/>
        </w:rPr>
      </w:pPr>
      <w:r w:rsidRPr="009F4FCE">
        <w:rPr>
          <w:rFonts w:ascii="Arial" w:hAnsi="Arial" w:cs="Arial"/>
          <w:color w:val="000000"/>
          <w:sz w:val="20"/>
          <w:szCs w:val="20"/>
          <w:lang w:val="pt-BR" w:eastAsia="en-US"/>
        </w:rPr>
        <w:t>” (NR) </w:t>
      </w:r>
    </w:p>
    <w:p w14:paraId="76EC0109" w14:textId="7001A356" w:rsidR="00086F67" w:rsidRPr="009F4FCE" w:rsidRDefault="00086F67" w:rsidP="00597737">
      <w:pPr>
        <w:spacing w:before="300" w:after="300"/>
        <w:ind w:left="1724" w:firstLine="567"/>
        <w:jc w:val="both"/>
        <w:rPr>
          <w:rFonts w:ascii="Arial" w:hAnsi="Arial" w:cs="Arial"/>
          <w:color w:val="000000"/>
          <w:sz w:val="20"/>
          <w:szCs w:val="20"/>
          <w:lang w:val="pt-BR" w:eastAsia="en-US"/>
        </w:rPr>
      </w:pPr>
      <w:bookmarkStart w:id="1" w:name="art2"/>
      <w:bookmarkEnd w:id="1"/>
      <w:r w:rsidRPr="009F4FCE">
        <w:rPr>
          <w:rFonts w:ascii="Arial" w:hAnsi="Arial" w:cs="Arial"/>
          <w:color w:val="000000"/>
          <w:sz w:val="20"/>
          <w:szCs w:val="20"/>
          <w:lang w:val="pt-BR" w:eastAsia="en-US"/>
        </w:rPr>
        <w:t xml:space="preserve">“Art. </w:t>
      </w:r>
      <w:r w:rsidR="00612E72" w:rsidRPr="009F4FCE">
        <w:rPr>
          <w:rFonts w:ascii="Arial" w:hAnsi="Arial" w:cs="Arial"/>
          <w:color w:val="000000"/>
          <w:sz w:val="20"/>
          <w:szCs w:val="20"/>
          <w:lang w:val="pt-BR" w:eastAsia="en-US"/>
        </w:rPr>
        <w:t>13</w:t>
      </w:r>
      <w:r w:rsidRPr="009F4FCE">
        <w:rPr>
          <w:rFonts w:ascii="Arial" w:hAnsi="Arial" w:cs="Arial"/>
          <w:color w:val="000000"/>
          <w:sz w:val="20"/>
          <w:szCs w:val="20"/>
          <w:lang w:val="pt-BR" w:eastAsia="en-US"/>
        </w:rPr>
        <w:t>  ..........................................................................</w:t>
      </w:r>
    </w:p>
    <w:p w14:paraId="56F09B7F" w14:textId="77777777" w:rsidR="00086F67" w:rsidRPr="009F4FCE" w:rsidRDefault="00086F67" w:rsidP="00597737">
      <w:pPr>
        <w:spacing w:before="300" w:after="300"/>
        <w:ind w:left="1724" w:firstLine="567"/>
        <w:jc w:val="both"/>
        <w:rPr>
          <w:rFonts w:ascii="Arial" w:hAnsi="Arial" w:cs="Arial"/>
          <w:color w:val="000000"/>
          <w:sz w:val="20"/>
          <w:szCs w:val="20"/>
          <w:lang w:val="pt-BR" w:eastAsia="en-US"/>
        </w:rPr>
      </w:pPr>
      <w:r w:rsidRPr="009F4FCE">
        <w:rPr>
          <w:rFonts w:ascii="Arial" w:hAnsi="Arial" w:cs="Arial"/>
          <w:color w:val="000000"/>
          <w:sz w:val="20"/>
          <w:szCs w:val="20"/>
          <w:lang w:val="pt-BR" w:eastAsia="en-US"/>
        </w:rPr>
        <w:t>.............................................................................................. </w:t>
      </w:r>
    </w:p>
    <w:p w14:paraId="678A4042" w14:textId="78DD9D4C"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As tarifas de transporte de gás natural a serem pagas pelos carregadores para o caso dos gasodutos objeto de concessão serão estabelecidas pela ANP com base na receita anual estabelecida no processo licitatório. </w:t>
      </w:r>
    </w:p>
    <w:p w14:paraId="3DD01E1C" w14:textId="77777777" w:rsidR="00086F67" w:rsidRPr="00E05AF9" w:rsidRDefault="00086F67"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(NR) </w:t>
      </w:r>
    </w:p>
    <w:p w14:paraId="2D21A824" w14:textId="707A1F46" w:rsidR="00F97A72" w:rsidRDefault="00086F67" w:rsidP="00086F67">
      <w:pPr>
        <w:spacing w:before="300" w:after="300"/>
        <w:ind w:firstLine="567"/>
        <w:rPr>
          <w:rFonts w:ascii="Arial" w:hAnsi="Arial" w:cs="Arial"/>
          <w:color w:val="000000"/>
          <w:sz w:val="20"/>
          <w:szCs w:val="20"/>
          <w:lang w:val="pt-BR" w:eastAsia="en-US"/>
        </w:rPr>
      </w:pPr>
      <w:r w:rsidRPr="00B06B7B">
        <w:rPr>
          <w:rFonts w:ascii="Arial" w:hAnsi="Arial" w:cs="Arial"/>
          <w:color w:val="000000"/>
          <w:sz w:val="20"/>
          <w:szCs w:val="20"/>
          <w:lang w:val="pt-BR" w:eastAsia="en-US"/>
        </w:rPr>
        <w:t>Art.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xml:space="preserve">  Revoga-se o </w:t>
      </w:r>
      <w:r w:rsidR="00E05AF9" w:rsidRPr="00B06B7B">
        <w:rPr>
          <w:rFonts w:ascii="Arial" w:hAnsi="Arial" w:cs="Arial"/>
          <w:color w:val="000000"/>
          <w:sz w:val="20"/>
          <w:szCs w:val="20"/>
          <w:lang w:val="pt-BR" w:eastAsia="en-US"/>
        </w:rPr>
        <w:t xml:space="preserve">§ </w:t>
      </w:r>
      <w:r w:rsidR="00E05AF9">
        <w:rPr>
          <w:rFonts w:ascii="Arial" w:hAnsi="Arial" w:cs="Arial"/>
          <w:color w:val="000000"/>
          <w:sz w:val="20"/>
          <w:szCs w:val="20"/>
          <w:lang w:val="pt-BR" w:eastAsia="en-US"/>
        </w:rPr>
        <w:t>2</w:t>
      </w:r>
      <w:r w:rsidR="00E05AF9" w:rsidRPr="00B06B7B">
        <w:rPr>
          <w:rFonts w:ascii="Arial" w:hAnsi="Arial" w:cs="Arial"/>
          <w:color w:val="000000"/>
          <w:sz w:val="20"/>
          <w:szCs w:val="20"/>
          <w:u w:val="single"/>
          <w:vertAlign w:val="superscript"/>
          <w:lang w:val="pt-BR" w:eastAsia="en-US"/>
        </w:rPr>
        <w:t>o</w:t>
      </w:r>
      <w:r w:rsidR="00E05AF9" w:rsidRPr="00B06B7B">
        <w:rPr>
          <w:rFonts w:ascii="Arial" w:hAnsi="Arial" w:cs="Arial"/>
          <w:color w:val="000000"/>
          <w:sz w:val="20"/>
          <w:szCs w:val="20"/>
          <w:lang w:val="pt-BR" w:eastAsia="en-US"/>
        </w:rPr>
        <w:t xml:space="preserve"> do Art. </w:t>
      </w:r>
      <w:r w:rsidR="00E05AF9">
        <w:rPr>
          <w:rFonts w:ascii="Arial" w:hAnsi="Arial" w:cs="Arial"/>
          <w:color w:val="000000"/>
          <w:sz w:val="20"/>
          <w:szCs w:val="20"/>
          <w:lang w:val="pt-BR" w:eastAsia="en-US"/>
        </w:rPr>
        <w:t xml:space="preserve">3º, o </w:t>
      </w:r>
      <w:r w:rsidRPr="00B06B7B">
        <w:rPr>
          <w:rFonts w:ascii="Arial" w:hAnsi="Arial" w:cs="Arial"/>
          <w:color w:val="000000"/>
          <w:sz w:val="20"/>
          <w:szCs w:val="20"/>
          <w:lang w:val="pt-BR" w:eastAsia="en-US"/>
        </w:rPr>
        <w:t>Inciso VII do Art. 17,  o Inciso XIV do Art. 21 e o § 3</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do Art. 30,  da Lei no 11.909, de 4 de março de 2009. </w:t>
      </w:r>
    </w:p>
    <w:p w14:paraId="75857450" w14:textId="77777777" w:rsidR="005736F1" w:rsidRPr="00B06B7B" w:rsidRDefault="005736F1" w:rsidP="00086F67">
      <w:pPr>
        <w:spacing w:before="300" w:after="300"/>
        <w:ind w:firstLine="567"/>
        <w:rPr>
          <w:rFonts w:ascii="Arial" w:hAnsi="Arial" w:cs="Arial"/>
          <w:color w:val="000000"/>
          <w:sz w:val="20"/>
          <w:szCs w:val="20"/>
          <w:lang w:val="pt-BR" w:eastAsia="en-US"/>
        </w:rPr>
      </w:pPr>
    </w:p>
    <w:p w14:paraId="44B90B38" w14:textId="60025BAA" w:rsidR="00F97A72" w:rsidRPr="00B06B7B" w:rsidRDefault="00F97A72" w:rsidP="00F97A72">
      <w:pPr>
        <w:spacing w:before="300" w:after="300"/>
        <w:ind w:firstLine="567"/>
        <w:rPr>
          <w:rFonts w:ascii="Arial" w:hAnsi="Arial" w:cs="Arial"/>
          <w:color w:val="000000"/>
          <w:sz w:val="20"/>
          <w:szCs w:val="20"/>
          <w:lang w:val="pt-BR" w:eastAsia="en-US"/>
        </w:rPr>
      </w:pPr>
      <w:bookmarkStart w:id="2" w:name="art6"/>
      <w:bookmarkEnd w:id="2"/>
      <w:r w:rsidRPr="00B06B7B">
        <w:rPr>
          <w:rFonts w:ascii="Arial" w:hAnsi="Arial" w:cs="Arial"/>
          <w:color w:val="000000"/>
          <w:sz w:val="20"/>
          <w:szCs w:val="20"/>
          <w:lang w:val="pt-BR" w:eastAsia="en-US"/>
        </w:rPr>
        <w:t xml:space="preserve">Art. </w:t>
      </w:r>
      <w:r w:rsidR="00E05AF9">
        <w:rPr>
          <w:rFonts w:ascii="Arial" w:hAnsi="Arial" w:cs="Arial"/>
          <w:color w:val="000000"/>
          <w:sz w:val="20"/>
          <w:szCs w:val="20"/>
          <w:lang w:val="pt-BR" w:eastAsia="en-US"/>
        </w:rPr>
        <w:t>3</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Esta Lei entra em vigor na data de sua publicação. </w:t>
      </w:r>
    </w:p>
    <w:p w14:paraId="09F03398" w14:textId="77777777" w:rsidR="00F97A72" w:rsidRPr="00B06B7B" w:rsidRDefault="00F97A72" w:rsidP="00F97A72">
      <w:pPr>
        <w:spacing w:before="300" w:after="300"/>
        <w:ind w:firstLine="567"/>
        <w:rPr>
          <w:rFonts w:ascii="Arial" w:hAnsi="Arial" w:cs="Arial"/>
          <w:color w:val="000000"/>
          <w:sz w:val="20"/>
          <w:szCs w:val="20"/>
          <w:lang w:val="pt-BR" w:eastAsia="en-US"/>
        </w:rPr>
      </w:pPr>
      <w:r w:rsidRPr="00B06B7B">
        <w:rPr>
          <w:rFonts w:ascii="Arial" w:hAnsi="Arial" w:cs="Arial"/>
          <w:color w:val="000000"/>
          <w:sz w:val="20"/>
          <w:szCs w:val="20"/>
          <w:lang w:val="pt-BR" w:eastAsia="en-US"/>
        </w:rPr>
        <w:t>Brasília, XX de XXXX de XXXX; XXX</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da Independência e XXX</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da República. </w:t>
      </w:r>
    </w:p>
    <w:p w14:paraId="5EF8164C" w14:textId="77777777" w:rsidR="00F97A72" w:rsidRDefault="00F97A72" w:rsidP="00F97A72">
      <w:pPr>
        <w:spacing w:before="100" w:beforeAutospacing="1" w:after="100" w:afterAutospacing="1"/>
        <w:rPr>
          <w:rFonts w:ascii="Arial" w:hAnsi="Arial" w:cs="Arial"/>
          <w:i/>
          <w:iCs/>
          <w:color w:val="000000"/>
          <w:sz w:val="20"/>
          <w:szCs w:val="20"/>
          <w:lang w:val="pt-BR" w:eastAsia="en-US"/>
        </w:rPr>
      </w:pPr>
      <w:r w:rsidRPr="00B06B7B">
        <w:rPr>
          <w:rFonts w:ascii="Arial" w:hAnsi="Arial" w:cs="Arial"/>
          <w:color w:val="000000"/>
          <w:sz w:val="20"/>
          <w:szCs w:val="20"/>
          <w:lang w:val="pt-BR" w:eastAsia="en-US"/>
        </w:rPr>
        <w:t>PRESIDENTE</w:t>
      </w:r>
      <w:r w:rsidRPr="00B06B7B">
        <w:rPr>
          <w:rFonts w:ascii="Arial" w:hAnsi="Arial" w:cs="Arial"/>
          <w:color w:val="000000"/>
          <w:sz w:val="20"/>
          <w:szCs w:val="20"/>
          <w:lang w:val="pt-BR" w:eastAsia="en-US"/>
        </w:rPr>
        <w:br/>
      </w:r>
      <w:r w:rsidRPr="00B06B7B">
        <w:rPr>
          <w:rFonts w:ascii="Arial" w:hAnsi="Arial" w:cs="Arial"/>
          <w:i/>
          <w:iCs/>
          <w:color w:val="000000"/>
          <w:sz w:val="20"/>
          <w:szCs w:val="20"/>
          <w:lang w:val="pt-BR" w:eastAsia="en-US"/>
        </w:rPr>
        <w:t>Ministro</w:t>
      </w:r>
      <w:r w:rsidRPr="00B06B7B">
        <w:rPr>
          <w:rFonts w:ascii="Arial" w:hAnsi="Arial" w:cs="Arial"/>
          <w:i/>
          <w:iCs/>
          <w:color w:val="000000"/>
          <w:sz w:val="20"/>
          <w:szCs w:val="20"/>
          <w:lang w:val="pt-BR" w:eastAsia="en-US"/>
        </w:rPr>
        <w:br/>
        <w:t>Ministro</w:t>
      </w:r>
    </w:p>
    <w:p w14:paraId="4C93D2C0" w14:textId="77777777" w:rsidR="00597737" w:rsidRDefault="00597737" w:rsidP="00F97A72">
      <w:pPr>
        <w:spacing w:before="100" w:beforeAutospacing="1" w:after="100" w:afterAutospacing="1"/>
        <w:rPr>
          <w:rFonts w:ascii="Arial" w:hAnsi="Arial" w:cs="Arial"/>
          <w:iCs/>
          <w:color w:val="000000"/>
          <w:sz w:val="20"/>
          <w:szCs w:val="20"/>
          <w:lang w:val="pt-BR" w:eastAsia="en-US"/>
        </w:rPr>
      </w:pPr>
    </w:p>
    <w:p w14:paraId="1CCEA0F7" w14:textId="265F5C39" w:rsidR="007D593E" w:rsidRDefault="007D593E" w:rsidP="00597737">
      <w:pPr>
        <w:spacing w:before="100" w:beforeAutospacing="1" w:after="100" w:afterAutospacing="1"/>
        <w:jc w:val="center"/>
        <w:rPr>
          <w:rFonts w:ascii="Arial" w:hAnsi="Arial" w:cs="Arial"/>
          <w:iCs/>
          <w:color w:val="000000"/>
          <w:sz w:val="20"/>
          <w:szCs w:val="20"/>
          <w:lang w:val="pt-BR" w:eastAsia="en-US"/>
        </w:rPr>
      </w:pPr>
      <w:r w:rsidRPr="008E356C">
        <w:rPr>
          <w:rFonts w:ascii="Arial" w:hAnsi="Arial" w:cs="Arial"/>
          <w:b/>
          <w:iCs/>
          <w:color w:val="000000"/>
          <w:sz w:val="20"/>
          <w:szCs w:val="20"/>
          <w:highlight w:val="yellow"/>
          <w:lang w:val="pt-BR" w:eastAsia="en-US"/>
        </w:rPr>
        <w:t>OBSERVAÇÃO:</w:t>
      </w:r>
      <w:r w:rsidRPr="008E356C">
        <w:rPr>
          <w:rFonts w:ascii="Arial" w:hAnsi="Arial" w:cs="Arial"/>
          <w:iCs/>
          <w:color w:val="000000"/>
          <w:sz w:val="20"/>
          <w:szCs w:val="20"/>
          <w:highlight w:val="yellow"/>
          <w:lang w:val="pt-BR" w:eastAsia="en-US"/>
        </w:rPr>
        <w:t xml:space="preserve"> </w:t>
      </w:r>
      <w:r w:rsidR="008E356C" w:rsidRPr="008E356C">
        <w:rPr>
          <w:rFonts w:ascii="Arial" w:hAnsi="Arial" w:cs="Arial"/>
          <w:iCs/>
          <w:color w:val="000000"/>
          <w:sz w:val="20"/>
          <w:szCs w:val="20"/>
          <w:highlight w:val="yellow"/>
          <w:lang w:val="pt-BR" w:eastAsia="en-US"/>
        </w:rPr>
        <w:t>VIDE ESTOCAGEM EM PL À PARTE</w:t>
      </w:r>
    </w:p>
    <w:p w14:paraId="501A91FC" w14:textId="77777777" w:rsidR="008E356C" w:rsidRDefault="008E356C" w:rsidP="00597737">
      <w:pPr>
        <w:spacing w:before="100" w:beforeAutospacing="1" w:after="100" w:afterAutospacing="1"/>
        <w:jc w:val="center"/>
        <w:rPr>
          <w:rFonts w:ascii="Arial" w:hAnsi="Arial" w:cs="Arial"/>
          <w:iCs/>
          <w:color w:val="000000"/>
          <w:sz w:val="20"/>
          <w:szCs w:val="20"/>
          <w:lang w:val="pt-BR" w:eastAsia="en-US"/>
        </w:rPr>
      </w:pPr>
      <w:bookmarkStart w:id="3" w:name="_GoBack"/>
      <w:bookmarkEnd w:id="3"/>
    </w:p>
    <w:sectPr w:rsidR="008E356C" w:rsidSect="002A6BCA">
      <w:footerReference w:type="default" r:id="rId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E8AAA" w14:textId="77777777" w:rsidR="00485232" w:rsidRDefault="00485232" w:rsidP="00DB0957">
      <w:pPr>
        <w:spacing w:after="0"/>
      </w:pPr>
      <w:r>
        <w:separator/>
      </w:r>
    </w:p>
  </w:endnote>
  <w:endnote w:type="continuationSeparator" w:id="0">
    <w:p w14:paraId="6C09C5E3" w14:textId="77777777" w:rsidR="00485232" w:rsidRDefault="00485232" w:rsidP="00DB0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w Cen MT">
    <w:altName w:val="Lucida Sans Unicode"/>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245152"/>
      <w:docPartObj>
        <w:docPartGallery w:val="Page Numbers (Bottom of Page)"/>
        <w:docPartUnique/>
      </w:docPartObj>
    </w:sdtPr>
    <w:sdtEndPr>
      <w:rPr>
        <w:sz w:val="16"/>
        <w:szCs w:val="16"/>
      </w:rPr>
    </w:sdtEndPr>
    <w:sdtContent>
      <w:p w14:paraId="65A2763C" w14:textId="57793704" w:rsidR="004A18AA" w:rsidRPr="004A18AA" w:rsidRDefault="004A18AA">
        <w:pPr>
          <w:pStyle w:val="Rodap"/>
          <w:jc w:val="right"/>
          <w:rPr>
            <w:sz w:val="16"/>
            <w:szCs w:val="16"/>
          </w:rPr>
        </w:pPr>
        <w:r w:rsidRPr="004A18AA">
          <w:rPr>
            <w:sz w:val="16"/>
            <w:szCs w:val="16"/>
          </w:rPr>
          <w:fldChar w:fldCharType="begin"/>
        </w:r>
        <w:r w:rsidRPr="004A18AA">
          <w:rPr>
            <w:sz w:val="16"/>
            <w:szCs w:val="16"/>
          </w:rPr>
          <w:instrText>PAGE   \* MERGEFORMAT</w:instrText>
        </w:r>
        <w:r w:rsidRPr="004A18AA">
          <w:rPr>
            <w:sz w:val="16"/>
            <w:szCs w:val="16"/>
          </w:rPr>
          <w:fldChar w:fldCharType="separate"/>
        </w:r>
        <w:r w:rsidR="00C87683" w:rsidRPr="00C87683">
          <w:rPr>
            <w:noProof/>
            <w:sz w:val="16"/>
            <w:szCs w:val="16"/>
            <w:lang w:val="pt-BR"/>
          </w:rPr>
          <w:t>3</w:t>
        </w:r>
        <w:r w:rsidRPr="004A18AA">
          <w:rPr>
            <w:sz w:val="16"/>
            <w:szCs w:val="16"/>
          </w:rPr>
          <w:fldChar w:fldCharType="end"/>
        </w:r>
      </w:p>
    </w:sdtContent>
  </w:sdt>
  <w:p w14:paraId="2707A8CA" w14:textId="77777777" w:rsidR="004A18AA" w:rsidRDefault="004A18A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DF179" w14:textId="77777777" w:rsidR="00485232" w:rsidRDefault="00485232" w:rsidP="00DB0957">
      <w:pPr>
        <w:spacing w:after="0"/>
      </w:pPr>
      <w:r>
        <w:separator/>
      </w:r>
    </w:p>
  </w:footnote>
  <w:footnote w:type="continuationSeparator" w:id="0">
    <w:p w14:paraId="3AA005AA" w14:textId="77777777" w:rsidR="00485232" w:rsidRDefault="00485232" w:rsidP="00DB095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91634"/>
    <w:multiLevelType w:val="hybridMultilevel"/>
    <w:tmpl w:val="BF8CE930"/>
    <w:lvl w:ilvl="0" w:tplc="0416000F">
      <w:start w:val="1"/>
      <w:numFmt w:val="decimal"/>
      <w:lvlText w:val="%1."/>
      <w:lvlJc w:val="left"/>
      <w:pPr>
        <w:ind w:left="720" w:hanging="360"/>
      </w:pPr>
      <w:rPr>
        <w:rFonts w:hint="default"/>
        <w:sz w:val="2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1B64040"/>
    <w:multiLevelType w:val="hybridMultilevel"/>
    <w:tmpl w:val="6CF451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4C55B14"/>
    <w:multiLevelType w:val="hybridMultilevel"/>
    <w:tmpl w:val="46D234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5C934D1D"/>
    <w:multiLevelType w:val="hybridMultilevel"/>
    <w:tmpl w:val="C846B730"/>
    <w:lvl w:ilvl="0" w:tplc="00B21AD6">
      <w:start w:val="1"/>
      <w:numFmt w:val="decimal"/>
      <w:lvlText w:val="%1)"/>
      <w:lvlJc w:val="left"/>
      <w:pPr>
        <w:ind w:left="2084" w:hanging="360"/>
      </w:pPr>
      <w:rPr>
        <w:rFonts w:hint="default"/>
      </w:rPr>
    </w:lvl>
    <w:lvl w:ilvl="1" w:tplc="04160019" w:tentative="1">
      <w:start w:val="1"/>
      <w:numFmt w:val="lowerLetter"/>
      <w:lvlText w:val="%2."/>
      <w:lvlJc w:val="left"/>
      <w:pPr>
        <w:ind w:left="2804" w:hanging="360"/>
      </w:pPr>
    </w:lvl>
    <w:lvl w:ilvl="2" w:tplc="0416001B" w:tentative="1">
      <w:start w:val="1"/>
      <w:numFmt w:val="lowerRoman"/>
      <w:lvlText w:val="%3."/>
      <w:lvlJc w:val="right"/>
      <w:pPr>
        <w:ind w:left="3524" w:hanging="180"/>
      </w:pPr>
    </w:lvl>
    <w:lvl w:ilvl="3" w:tplc="0416000F" w:tentative="1">
      <w:start w:val="1"/>
      <w:numFmt w:val="decimal"/>
      <w:lvlText w:val="%4."/>
      <w:lvlJc w:val="left"/>
      <w:pPr>
        <w:ind w:left="4244" w:hanging="360"/>
      </w:pPr>
    </w:lvl>
    <w:lvl w:ilvl="4" w:tplc="04160019" w:tentative="1">
      <w:start w:val="1"/>
      <w:numFmt w:val="lowerLetter"/>
      <w:lvlText w:val="%5."/>
      <w:lvlJc w:val="left"/>
      <w:pPr>
        <w:ind w:left="4964" w:hanging="360"/>
      </w:pPr>
    </w:lvl>
    <w:lvl w:ilvl="5" w:tplc="0416001B" w:tentative="1">
      <w:start w:val="1"/>
      <w:numFmt w:val="lowerRoman"/>
      <w:lvlText w:val="%6."/>
      <w:lvlJc w:val="right"/>
      <w:pPr>
        <w:ind w:left="5684" w:hanging="180"/>
      </w:pPr>
    </w:lvl>
    <w:lvl w:ilvl="6" w:tplc="0416000F" w:tentative="1">
      <w:start w:val="1"/>
      <w:numFmt w:val="decimal"/>
      <w:lvlText w:val="%7."/>
      <w:lvlJc w:val="left"/>
      <w:pPr>
        <w:ind w:left="6404" w:hanging="360"/>
      </w:pPr>
    </w:lvl>
    <w:lvl w:ilvl="7" w:tplc="04160019" w:tentative="1">
      <w:start w:val="1"/>
      <w:numFmt w:val="lowerLetter"/>
      <w:lvlText w:val="%8."/>
      <w:lvlJc w:val="left"/>
      <w:pPr>
        <w:ind w:left="7124" w:hanging="360"/>
      </w:pPr>
    </w:lvl>
    <w:lvl w:ilvl="8" w:tplc="0416001B" w:tentative="1">
      <w:start w:val="1"/>
      <w:numFmt w:val="lowerRoman"/>
      <w:lvlText w:val="%9."/>
      <w:lvlJc w:val="right"/>
      <w:pPr>
        <w:ind w:left="7844"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3C1"/>
    <w:rsid w:val="00086F67"/>
    <w:rsid w:val="00096C9E"/>
    <w:rsid w:val="0011403D"/>
    <w:rsid w:val="00127214"/>
    <w:rsid w:val="001809EB"/>
    <w:rsid w:val="001B01A4"/>
    <w:rsid w:val="002239BA"/>
    <w:rsid w:val="00235194"/>
    <w:rsid w:val="002A6BCA"/>
    <w:rsid w:val="002F6B84"/>
    <w:rsid w:val="00346E42"/>
    <w:rsid w:val="003714F6"/>
    <w:rsid w:val="00460CD8"/>
    <w:rsid w:val="004777D2"/>
    <w:rsid w:val="00485232"/>
    <w:rsid w:val="004A18AA"/>
    <w:rsid w:val="004A3C9C"/>
    <w:rsid w:val="004E7D95"/>
    <w:rsid w:val="005736F1"/>
    <w:rsid w:val="00597737"/>
    <w:rsid w:val="005B1A8C"/>
    <w:rsid w:val="005B5061"/>
    <w:rsid w:val="005E16AF"/>
    <w:rsid w:val="00612E72"/>
    <w:rsid w:val="00621927"/>
    <w:rsid w:val="006843F8"/>
    <w:rsid w:val="006C0C3C"/>
    <w:rsid w:val="006C6EFA"/>
    <w:rsid w:val="00753891"/>
    <w:rsid w:val="007D593E"/>
    <w:rsid w:val="008E356C"/>
    <w:rsid w:val="00972D7D"/>
    <w:rsid w:val="00981801"/>
    <w:rsid w:val="009B63C1"/>
    <w:rsid w:val="009E7693"/>
    <w:rsid w:val="009F4FCE"/>
    <w:rsid w:val="00A163FF"/>
    <w:rsid w:val="00A418F2"/>
    <w:rsid w:val="00A7295F"/>
    <w:rsid w:val="00AA5782"/>
    <w:rsid w:val="00AE369D"/>
    <w:rsid w:val="00B06B7B"/>
    <w:rsid w:val="00B23A75"/>
    <w:rsid w:val="00B57370"/>
    <w:rsid w:val="00B95B29"/>
    <w:rsid w:val="00BE17EB"/>
    <w:rsid w:val="00C40A2B"/>
    <w:rsid w:val="00C63DD0"/>
    <w:rsid w:val="00C87683"/>
    <w:rsid w:val="00CC506C"/>
    <w:rsid w:val="00D62F4B"/>
    <w:rsid w:val="00DB0957"/>
    <w:rsid w:val="00E05AF9"/>
    <w:rsid w:val="00E10E00"/>
    <w:rsid w:val="00EB44D0"/>
    <w:rsid w:val="00EC63AB"/>
    <w:rsid w:val="00F43F13"/>
    <w:rsid w:val="00F97A72"/>
    <w:rsid w:val="00FA56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7C9CD"/>
  <w15:docId w15:val="{C75BCDA7-B962-4797-8DE3-B4FB655A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9E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F97A72"/>
    <w:pPr>
      <w:spacing w:before="100" w:beforeAutospacing="1" w:after="100" w:afterAutospacing="1"/>
    </w:pPr>
    <w:rPr>
      <w:rFonts w:ascii="Times" w:hAnsi="Times" w:cs="Times New Roman"/>
      <w:sz w:val="20"/>
      <w:szCs w:val="20"/>
      <w:lang w:eastAsia="en-US"/>
    </w:rPr>
  </w:style>
  <w:style w:type="character" w:styleId="Forte">
    <w:name w:val="Strong"/>
    <w:basedOn w:val="Fontepargpadro"/>
    <w:uiPriority w:val="22"/>
    <w:qFormat/>
    <w:rsid w:val="00F97A72"/>
    <w:rPr>
      <w:b/>
      <w:bCs/>
    </w:rPr>
  </w:style>
  <w:style w:type="character" w:styleId="Hyperlink">
    <w:name w:val="Hyperlink"/>
    <w:basedOn w:val="Fontepargpadro"/>
    <w:uiPriority w:val="99"/>
    <w:semiHidden/>
    <w:unhideWhenUsed/>
    <w:rsid w:val="00F97A72"/>
    <w:rPr>
      <w:color w:val="0000FF"/>
      <w:u w:val="single"/>
    </w:rPr>
  </w:style>
  <w:style w:type="character" w:customStyle="1" w:styleId="apple-converted-space">
    <w:name w:val="apple-converted-space"/>
    <w:basedOn w:val="Fontepargpadro"/>
    <w:rsid w:val="00F97A72"/>
  </w:style>
  <w:style w:type="paragraph" w:customStyle="1" w:styleId="artart">
    <w:name w:val="artart"/>
    <w:basedOn w:val="Normal"/>
    <w:rsid w:val="00F97A72"/>
    <w:pPr>
      <w:spacing w:before="100" w:beforeAutospacing="1" w:after="100" w:afterAutospacing="1"/>
    </w:pPr>
    <w:rPr>
      <w:rFonts w:ascii="Times" w:hAnsi="Times"/>
      <w:sz w:val="20"/>
      <w:szCs w:val="20"/>
      <w:lang w:eastAsia="en-US"/>
    </w:rPr>
  </w:style>
  <w:style w:type="paragraph" w:customStyle="1" w:styleId="artigo">
    <w:name w:val="artigo"/>
    <w:basedOn w:val="Normal"/>
    <w:rsid w:val="00F97A72"/>
    <w:pPr>
      <w:spacing w:before="100" w:beforeAutospacing="1" w:after="100" w:afterAutospacing="1"/>
    </w:pPr>
    <w:rPr>
      <w:rFonts w:ascii="Times" w:hAnsi="Times"/>
      <w:sz w:val="20"/>
      <w:szCs w:val="20"/>
      <w:lang w:eastAsia="en-US"/>
    </w:rPr>
  </w:style>
  <w:style w:type="paragraph" w:styleId="Textodecomentrio">
    <w:name w:val="annotation text"/>
    <w:basedOn w:val="Normal"/>
    <w:link w:val="TextodecomentrioChar"/>
    <w:semiHidden/>
    <w:rsid w:val="00F97A72"/>
    <w:pPr>
      <w:spacing w:after="0"/>
    </w:pPr>
    <w:rPr>
      <w:rFonts w:ascii="Arial" w:eastAsia="Times New Roman" w:hAnsi="Arial" w:cs="Times New Roman"/>
      <w:bCs/>
      <w:snapToGrid w:val="0"/>
      <w:color w:val="000000"/>
      <w:sz w:val="20"/>
      <w:szCs w:val="20"/>
      <w:lang w:val="x-none" w:eastAsia="es-ES"/>
    </w:rPr>
  </w:style>
  <w:style w:type="character" w:customStyle="1" w:styleId="TextodecomentrioChar">
    <w:name w:val="Texto de comentário Char"/>
    <w:basedOn w:val="Fontepargpadro"/>
    <w:link w:val="Textodecomentrio"/>
    <w:semiHidden/>
    <w:rsid w:val="00F97A72"/>
    <w:rPr>
      <w:rFonts w:ascii="Arial" w:eastAsia="Times New Roman" w:hAnsi="Arial" w:cs="Times New Roman"/>
      <w:bCs/>
      <w:snapToGrid w:val="0"/>
      <w:color w:val="000000"/>
      <w:sz w:val="20"/>
      <w:szCs w:val="20"/>
      <w:lang w:val="x-none" w:eastAsia="es-ES"/>
    </w:rPr>
  </w:style>
  <w:style w:type="character" w:styleId="Refdecomentrio">
    <w:name w:val="annotation reference"/>
    <w:uiPriority w:val="99"/>
    <w:semiHidden/>
    <w:unhideWhenUsed/>
    <w:rsid w:val="00F97A72"/>
    <w:rPr>
      <w:sz w:val="16"/>
      <w:szCs w:val="16"/>
    </w:rPr>
  </w:style>
  <w:style w:type="paragraph" w:customStyle="1" w:styleId="Texto">
    <w:name w:val="Texto"/>
    <w:basedOn w:val="Normal"/>
    <w:autoRedefine/>
    <w:rsid w:val="00F97A72"/>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81" w:after="40"/>
      <w:ind w:firstLine="567"/>
      <w:jc w:val="both"/>
    </w:pPr>
    <w:rPr>
      <w:rFonts w:ascii="Arial" w:eastAsia="Times New Roman" w:hAnsi="Arial" w:cs="Times New Roman"/>
      <w:color w:val="000080"/>
      <w:sz w:val="22"/>
      <w:szCs w:val="22"/>
      <w:lang w:val="pt-BR" w:eastAsia="pt-BR"/>
    </w:rPr>
  </w:style>
  <w:style w:type="paragraph" w:customStyle="1" w:styleId="Norma">
    <w:name w:val="Norma"/>
    <w:rsid w:val="00F97A72"/>
    <w:pPr>
      <w:pBdr>
        <w:top w:val="single" w:sz="2" w:space="0" w:color="000080"/>
        <w:bottom w:val="single" w:sz="2" w:space="0" w:color="000080"/>
      </w:pBdr>
      <w:suppressAutoHyphens/>
      <w:spacing w:after="0"/>
      <w:jc w:val="center"/>
    </w:pPr>
    <w:rPr>
      <w:rFonts w:ascii="Arial" w:eastAsia="Times New Roman" w:hAnsi="Arial" w:cs="Times New Roman"/>
      <w:b/>
      <w:color w:val="000080"/>
      <w:sz w:val="26"/>
      <w:szCs w:val="20"/>
      <w:lang w:val="pt-BR" w:eastAsia="pt-BR"/>
    </w:rPr>
  </w:style>
  <w:style w:type="paragraph" w:styleId="Corpodetexto2">
    <w:name w:val="Body Text 2"/>
    <w:basedOn w:val="Normal"/>
    <w:link w:val="Corpodetexto2Char"/>
    <w:semiHidden/>
    <w:rsid w:val="00F97A72"/>
    <w:pPr>
      <w:spacing w:after="0"/>
      <w:jc w:val="both"/>
    </w:pPr>
    <w:rPr>
      <w:rFonts w:ascii="Arial" w:eastAsia="Times New Roman" w:hAnsi="Arial" w:cs="Times New Roman"/>
      <w:b/>
      <w:bCs/>
      <w:snapToGrid w:val="0"/>
      <w:color w:val="000000"/>
      <w:sz w:val="28"/>
      <w:szCs w:val="20"/>
      <w:u w:val="single"/>
      <w:lang w:val="pt-BR" w:eastAsia="es-ES"/>
    </w:rPr>
  </w:style>
  <w:style w:type="character" w:customStyle="1" w:styleId="Corpodetexto2Char">
    <w:name w:val="Corpo de texto 2 Char"/>
    <w:basedOn w:val="Fontepargpadro"/>
    <w:link w:val="Corpodetexto2"/>
    <w:semiHidden/>
    <w:rsid w:val="00F97A72"/>
    <w:rPr>
      <w:rFonts w:ascii="Arial" w:eastAsia="Times New Roman" w:hAnsi="Arial" w:cs="Times New Roman"/>
      <w:b/>
      <w:bCs/>
      <w:snapToGrid w:val="0"/>
      <w:color w:val="000000"/>
      <w:sz w:val="28"/>
      <w:szCs w:val="20"/>
      <w:u w:val="single"/>
      <w:lang w:val="pt-BR" w:eastAsia="es-ES"/>
    </w:rPr>
  </w:style>
  <w:style w:type="paragraph" w:styleId="Textodebalo">
    <w:name w:val="Balloon Text"/>
    <w:basedOn w:val="Normal"/>
    <w:link w:val="TextodebaloChar"/>
    <w:uiPriority w:val="99"/>
    <w:semiHidden/>
    <w:unhideWhenUsed/>
    <w:rsid w:val="007D593E"/>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D593E"/>
    <w:rPr>
      <w:rFonts w:ascii="Segoe UI" w:hAnsi="Segoe UI" w:cs="Segoe UI"/>
      <w:sz w:val="18"/>
      <w:szCs w:val="18"/>
    </w:rPr>
  </w:style>
  <w:style w:type="paragraph" w:customStyle="1" w:styleId="Ementa">
    <w:name w:val="Ementa"/>
    <w:basedOn w:val="Normal"/>
    <w:rsid w:val="0011403D"/>
    <w:pPr>
      <w:widowControl w:val="0"/>
      <w:spacing w:before="1072" w:after="1072" w:line="240" w:lineRule="exact"/>
      <w:ind w:left="3742" w:firstLine="720"/>
      <w:jc w:val="both"/>
    </w:pPr>
    <w:rPr>
      <w:rFonts w:ascii="Arial" w:eastAsia="Times New Roman" w:hAnsi="Arial" w:cs="Times New Roman"/>
      <w:color w:val="000000"/>
      <w:szCs w:val="20"/>
      <w:lang w:val="pt-BR" w:eastAsia="pt-BR"/>
    </w:rPr>
  </w:style>
  <w:style w:type="table" w:styleId="Tabelacomgrade">
    <w:name w:val="Table Grid"/>
    <w:basedOn w:val="Tabelanormal"/>
    <w:uiPriority w:val="59"/>
    <w:rsid w:val="0011403D"/>
    <w:pPr>
      <w:spacing w:after="0"/>
    </w:pPr>
    <w:rPr>
      <w:rFonts w:eastAsiaTheme="minorHAnsi"/>
      <w:sz w:val="22"/>
      <w:szCs w:val="22"/>
      <w:lang w:val="pt-B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1403D"/>
    <w:pPr>
      <w:autoSpaceDE w:val="0"/>
      <w:autoSpaceDN w:val="0"/>
      <w:adjustRightInd w:val="0"/>
      <w:spacing w:after="0"/>
    </w:pPr>
    <w:rPr>
      <w:rFonts w:ascii="Tw Cen MT" w:eastAsiaTheme="minorHAnsi" w:hAnsi="Tw Cen MT" w:cs="Tw Cen MT"/>
      <w:color w:val="000000"/>
      <w:lang w:val="pt-BR" w:eastAsia="en-US"/>
    </w:rPr>
  </w:style>
  <w:style w:type="paragraph" w:styleId="Recuodecorpodetexto3">
    <w:name w:val="Body Text Indent 3"/>
    <w:basedOn w:val="Normal"/>
    <w:link w:val="Recuodecorpodetexto3Char"/>
    <w:uiPriority w:val="99"/>
    <w:semiHidden/>
    <w:unhideWhenUsed/>
    <w:rsid w:val="00DB0957"/>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B0957"/>
    <w:rPr>
      <w:sz w:val="16"/>
      <w:szCs w:val="16"/>
    </w:rPr>
  </w:style>
  <w:style w:type="paragraph" w:styleId="Textodenotaderodap">
    <w:name w:val="footnote text"/>
    <w:basedOn w:val="Normal"/>
    <w:link w:val="TextodenotaderodapChar"/>
    <w:uiPriority w:val="99"/>
    <w:semiHidden/>
    <w:unhideWhenUsed/>
    <w:rsid w:val="00DB0957"/>
    <w:pPr>
      <w:spacing w:after="0"/>
    </w:pPr>
    <w:rPr>
      <w:sz w:val="20"/>
      <w:szCs w:val="20"/>
    </w:rPr>
  </w:style>
  <w:style w:type="character" w:customStyle="1" w:styleId="TextodenotaderodapChar">
    <w:name w:val="Texto de nota de rodapé Char"/>
    <w:basedOn w:val="Fontepargpadro"/>
    <w:link w:val="Textodenotaderodap"/>
    <w:uiPriority w:val="99"/>
    <w:semiHidden/>
    <w:rsid w:val="00DB0957"/>
    <w:rPr>
      <w:sz w:val="20"/>
      <w:szCs w:val="20"/>
    </w:rPr>
  </w:style>
  <w:style w:type="character" w:styleId="Refdenotaderodap">
    <w:name w:val="footnote reference"/>
    <w:basedOn w:val="Fontepargpadro"/>
    <w:uiPriority w:val="99"/>
    <w:semiHidden/>
    <w:unhideWhenUsed/>
    <w:rsid w:val="00DB0957"/>
    <w:rPr>
      <w:vertAlign w:val="superscript"/>
    </w:rPr>
  </w:style>
  <w:style w:type="paragraph" w:styleId="PargrafodaLista">
    <w:name w:val="List Paragraph"/>
    <w:basedOn w:val="Normal"/>
    <w:uiPriority w:val="34"/>
    <w:qFormat/>
    <w:rsid w:val="00DB0957"/>
    <w:pPr>
      <w:ind w:left="720"/>
      <w:contextualSpacing/>
    </w:pPr>
  </w:style>
  <w:style w:type="paragraph" w:customStyle="1" w:styleId="ti-art">
    <w:name w:val="ti-art"/>
    <w:basedOn w:val="Normal"/>
    <w:rsid w:val="00F43F13"/>
    <w:pPr>
      <w:spacing w:before="100" w:beforeAutospacing="1" w:after="100" w:afterAutospacing="1"/>
    </w:pPr>
    <w:rPr>
      <w:rFonts w:ascii="Times New Roman" w:eastAsia="Times New Roman" w:hAnsi="Times New Roman" w:cs="Times New Roman"/>
      <w:lang w:val="pt-BR" w:eastAsia="pt-BR"/>
    </w:rPr>
  </w:style>
  <w:style w:type="paragraph" w:customStyle="1" w:styleId="sti-art">
    <w:name w:val="sti-art"/>
    <w:basedOn w:val="Normal"/>
    <w:rsid w:val="00F43F13"/>
    <w:pPr>
      <w:spacing w:before="100" w:beforeAutospacing="1" w:after="100" w:afterAutospacing="1"/>
    </w:pPr>
    <w:rPr>
      <w:rFonts w:ascii="Times New Roman" w:eastAsia="Times New Roman" w:hAnsi="Times New Roman" w:cs="Times New Roman"/>
      <w:lang w:val="pt-BR" w:eastAsia="pt-BR"/>
    </w:rPr>
  </w:style>
  <w:style w:type="paragraph" w:customStyle="1" w:styleId="Normal1">
    <w:name w:val="Normal1"/>
    <w:basedOn w:val="Normal"/>
    <w:rsid w:val="00F43F13"/>
    <w:pPr>
      <w:spacing w:before="100" w:beforeAutospacing="1" w:after="100" w:afterAutospacing="1"/>
    </w:pPr>
    <w:rPr>
      <w:rFonts w:ascii="Times New Roman" w:eastAsia="Times New Roman" w:hAnsi="Times New Roman" w:cs="Times New Roman"/>
      <w:lang w:val="pt-BR" w:eastAsia="pt-BR"/>
    </w:rPr>
  </w:style>
  <w:style w:type="character" w:customStyle="1" w:styleId="super">
    <w:name w:val="super"/>
    <w:basedOn w:val="Fontepargpadro"/>
    <w:rsid w:val="00F43F13"/>
  </w:style>
  <w:style w:type="character" w:customStyle="1" w:styleId="italic">
    <w:name w:val="italic"/>
    <w:basedOn w:val="Fontepargpadro"/>
    <w:rsid w:val="00F43F13"/>
  </w:style>
  <w:style w:type="paragraph" w:customStyle="1" w:styleId="ti-section-1">
    <w:name w:val="ti-section-1"/>
    <w:basedOn w:val="Normal"/>
    <w:rsid w:val="00FA5654"/>
    <w:pPr>
      <w:spacing w:before="100" w:beforeAutospacing="1" w:after="100" w:afterAutospacing="1"/>
    </w:pPr>
    <w:rPr>
      <w:rFonts w:ascii="Times New Roman" w:eastAsia="Times New Roman" w:hAnsi="Times New Roman" w:cs="Times New Roman"/>
      <w:lang w:val="pt-BR" w:eastAsia="pt-BR"/>
    </w:rPr>
  </w:style>
  <w:style w:type="paragraph" w:customStyle="1" w:styleId="ti-section-2">
    <w:name w:val="ti-section-2"/>
    <w:basedOn w:val="Normal"/>
    <w:rsid w:val="00FA5654"/>
    <w:pPr>
      <w:spacing w:before="100" w:beforeAutospacing="1" w:after="100" w:afterAutospacing="1"/>
    </w:pPr>
    <w:rPr>
      <w:rFonts w:ascii="Times New Roman" w:eastAsia="Times New Roman" w:hAnsi="Times New Roman" w:cs="Times New Roman"/>
      <w:lang w:val="pt-BR" w:eastAsia="pt-BR"/>
    </w:rPr>
  </w:style>
  <w:style w:type="paragraph" w:styleId="Cabealho">
    <w:name w:val="header"/>
    <w:basedOn w:val="Normal"/>
    <w:link w:val="CabealhoChar"/>
    <w:uiPriority w:val="99"/>
    <w:unhideWhenUsed/>
    <w:rsid w:val="004A18AA"/>
    <w:pPr>
      <w:tabs>
        <w:tab w:val="center" w:pos="4252"/>
        <w:tab w:val="right" w:pos="8504"/>
      </w:tabs>
      <w:spacing w:after="0"/>
    </w:pPr>
  </w:style>
  <w:style w:type="character" w:customStyle="1" w:styleId="CabealhoChar">
    <w:name w:val="Cabeçalho Char"/>
    <w:basedOn w:val="Fontepargpadro"/>
    <w:link w:val="Cabealho"/>
    <w:uiPriority w:val="99"/>
    <w:rsid w:val="004A18AA"/>
  </w:style>
  <w:style w:type="paragraph" w:styleId="Rodap">
    <w:name w:val="footer"/>
    <w:basedOn w:val="Normal"/>
    <w:link w:val="RodapChar"/>
    <w:uiPriority w:val="99"/>
    <w:unhideWhenUsed/>
    <w:rsid w:val="004A18AA"/>
    <w:pPr>
      <w:tabs>
        <w:tab w:val="center" w:pos="4252"/>
        <w:tab w:val="right" w:pos="8504"/>
      </w:tabs>
      <w:spacing w:after="0"/>
    </w:pPr>
  </w:style>
  <w:style w:type="character" w:customStyle="1" w:styleId="RodapChar">
    <w:name w:val="Rodapé Char"/>
    <w:basedOn w:val="Fontepargpadro"/>
    <w:link w:val="Rodap"/>
    <w:uiPriority w:val="99"/>
    <w:rsid w:val="004A1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96136">
      <w:bodyDiv w:val="1"/>
      <w:marLeft w:val="0"/>
      <w:marRight w:val="0"/>
      <w:marTop w:val="0"/>
      <w:marBottom w:val="0"/>
      <w:divBdr>
        <w:top w:val="none" w:sz="0" w:space="0" w:color="auto"/>
        <w:left w:val="none" w:sz="0" w:space="0" w:color="auto"/>
        <w:bottom w:val="none" w:sz="0" w:space="0" w:color="auto"/>
        <w:right w:val="none" w:sz="0" w:space="0" w:color="auto"/>
      </w:divBdr>
    </w:div>
    <w:div w:id="557743828">
      <w:bodyDiv w:val="1"/>
      <w:marLeft w:val="0"/>
      <w:marRight w:val="0"/>
      <w:marTop w:val="0"/>
      <w:marBottom w:val="0"/>
      <w:divBdr>
        <w:top w:val="none" w:sz="0" w:space="0" w:color="auto"/>
        <w:left w:val="none" w:sz="0" w:space="0" w:color="auto"/>
        <w:bottom w:val="none" w:sz="0" w:space="0" w:color="auto"/>
        <w:right w:val="none" w:sz="0" w:space="0" w:color="auto"/>
      </w:divBdr>
    </w:div>
    <w:div w:id="688798401">
      <w:bodyDiv w:val="1"/>
      <w:marLeft w:val="0"/>
      <w:marRight w:val="0"/>
      <w:marTop w:val="0"/>
      <w:marBottom w:val="0"/>
      <w:divBdr>
        <w:top w:val="none" w:sz="0" w:space="0" w:color="auto"/>
        <w:left w:val="none" w:sz="0" w:space="0" w:color="auto"/>
        <w:bottom w:val="none" w:sz="0" w:space="0" w:color="auto"/>
        <w:right w:val="none" w:sz="0" w:space="0" w:color="auto"/>
      </w:divBdr>
    </w:div>
    <w:div w:id="744231083">
      <w:bodyDiv w:val="1"/>
      <w:marLeft w:val="0"/>
      <w:marRight w:val="0"/>
      <w:marTop w:val="0"/>
      <w:marBottom w:val="0"/>
      <w:divBdr>
        <w:top w:val="none" w:sz="0" w:space="0" w:color="auto"/>
        <w:left w:val="none" w:sz="0" w:space="0" w:color="auto"/>
        <w:bottom w:val="none" w:sz="0" w:space="0" w:color="auto"/>
        <w:right w:val="none" w:sz="0" w:space="0" w:color="auto"/>
      </w:divBdr>
    </w:div>
    <w:div w:id="1019044067">
      <w:bodyDiv w:val="1"/>
      <w:marLeft w:val="0"/>
      <w:marRight w:val="0"/>
      <w:marTop w:val="0"/>
      <w:marBottom w:val="0"/>
      <w:divBdr>
        <w:top w:val="none" w:sz="0" w:space="0" w:color="auto"/>
        <w:left w:val="none" w:sz="0" w:space="0" w:color="auto"/>
        <w:bottom w:val="none" w:sz="0" w:space="0" w:color="auto"/>
        <w:right w:val="none" w:sz="0" w:space="0" w:color="auto"/>
      </w:divBdr>
    </w:div>
    <w:div w:id="1044216541">
      <w:bodyDiv w:val="1"/>
      <w:marLeft w:val="0"/>
      <w:marRight w:val="0"/>
      <w:marTop w:val="0"/>
      <w:marBottom w:val="0"/>
      <w:divBdr>
        <w:top w:val="none" w:sz="0" w:space="0" w:color="auto"/>
        <w:left w:val="none" w:sz="0" w:space="0" w:color="auto"/>
        <w:bottom w:val="none" w:sz="0" w:space="0" w:color="auto"/>
        <w:right w:val="none" w:sz="0" w:space="0" w:color="auto"/>
      </w:divBdr>
    </w:div>
    <w:div w:id="1606381017">
      <w:bodyDiv w:val="1"/>
      <w:marLeft w:val="0"/>
      <w:marRight w:val="0"/>
      <w:marTop w:val="0"/>
      <w:marBottom w:val="0"/>
      <w:divBdr>
        <w:top w:val="none" w:sz="0" w:space="0" w:color="auto"/>
        <w:left w:val="none" w:sz="0" w:space="0" w:color="auto"/>
        <w:bottom w:val="none" w:sz="0" w:space="0" w:color="auto"/>
        <w:right w:val="none" w:sz="0" w:space="0" w:color="auto"/>
      </w:divBdr>
    </w:div>
    <w:div w:id="1771853852">
      <w:bodyDiv w:val="1"/>
      <w:marLeft w:val="0"/>
      <w:marRight w:val="0"/>
      <w:marTop w:val="0"/>
      <w:marBottom w:val="0"/>
      <w:divBdr>
        <w:top w:val="none" w:sz="0" w:space="0" w:color="auto"/>
        <w:left w:val="none" w:sz="0" w:space="0" w:color="auto"/>
        <w:bottom w:val="none" w:sz="0" w:space="0" w:color="auto"/>
        <w:right w:val="none" w:sz="0" w:space="0" w:color="auto"/>
      </w:divBdr>
      <w:divsChild>
        <w:div w:id="7737942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90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21B7A-2666-4C4E-B43F-6A9540DB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1021</Words>
  <Characters>5516</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N/A</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dc:creator>
  <cp:keywords/>
  <dc:description/>
  <cp:lastModifiedBy>MARIO JORGE FIGUEIRA CONFORT</cp:lastModifiedBy>
  <cp:revision>3</cp:revision>
  <dcterms:created xsi:type="dcterms:W3CDTF">2017-05-05T23:07:00Z</dcterms:created>
  <dcterms:modified xsi:type="dcterms:W3CDTF">2017-05-05T23:09:00Z</dcterms:modified>
</cp:coreProperties>
</file>