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Ind w:w="-26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C854AA" w:rsidRPr="00C854AA" w:rsidRDefault="00C854A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C854AA">
        <w:rPr>
          <w:rFonts w:ascii="Arial" w:hAnsi="Arial" w:cs="Arial"/>
          <w:bCs/>
          <w:color w:val="FF0000"/>
        </w:rPr>
        <w:t>(</w:t>
      </w:r>
      <w:r w:rsidRPr="00C854AA">
        <w:rPr>
          <w:rFonts w:ascii="Arial" w:hAnsi="Arial" w:cs="Arial"/>
          <w:b/>
          <w:bCs/>
          <w:i/>
          <w:color w:val="FF0000"/>
        </w:rPr>
        <w:t xml:space="preserve">Revogada pela </w:t>
      </w:r>
      <w:r w:rsidRPr="00C854AA">
        <w:rPr>
          <w:rFonts w:ascii="Arial" w:hAnsi="Arial" w:cs="Arial"/>
          <w:b/>
          <w:i/>
          <w:color w:val="FF0000"/>
        </w:rPr>
        <w:t xml:space="preserve">Portaria SPE/MME </w:t>
      </w:r>
      <w:proofErr w:type="gramStart"/>
      <w:r w:rsidRPr="00C854AA">
        <w:rPr>
          <w:rFonts w:ascii="Arial" w:hAnsi="Arial" w:cs="Arial"/>
          <w:b/>
          <w:i/>
          <w:color w:val="FF0000"/>
        </w:rPr>
        <w:t>n</w:t>
      </w:r>
      <w:r w:rsidRPr="00C854AA">
        <w:rPr>
          <w:rFonts w:ascii="Arial" w:hAnsi="Arial" w:cs="Arial"/>
          <w:b/>
          <w:i/>
          <w:color w:val="FF0000"/>
          <w:u w:val="single"/>
          <w:vertAlign w:val="superscript"/>
        </w:rPr>
        <w:t>o</w:t>
      </w:r>
      <w:r w:rsidRPr="00C854AA">
        <w:rPr>
          <w:rFonts w:ascii="Arial" w:hAnsi="Arial" w:cs="Arial"/>
          <w:b/>
          <w:i/>
          <w:color w:val="FF0000"/>
        </w:rPr>
        <w:t xml:space="preserve"> </w:t>
      </w:r>
      <w:r w:rsidRPr="00C854AA">
        <w:rPr>
          <w:rFonts w:ascii="Arial" w:hAnsi="Arial" w:cs="Arial"/>
          <w:b/>
          <w:i/>
          <w:color w:val="FF0000"/>
        </w:rPr>
        <w:t>91</w:t>
      </w:r>
      <w:proofErr w:type="gramEnd"/>
      <w:r w:rsidRPr="00C854AA">
        <w:rPr>
          <w:rFonts w:ascii="Arial" w:hAnsi="Arial" w:cs="Arial"/>
          <w:b/>
          <w:i/>
          <w:color w:val="FF0000"/>
        </w:rPr>
        <w:t xml:space="preserve">, de </w:t>
      </w:r>
      <w:r w:rsidRPr="00C854AA">
        <w:rPr>
          <w:rFonts w:ascii="Arial" w:hAnsi="Arial" w:cs="Arial"/>
          <w:b/>
          <w:i/>
          <w:color w:val="FF0000"/>
        </w:rPr>
        <w:t>11</w:t>
      </w:r>
      <w:r w:rsidRPr="00C854AA">
        <w:rPr>
          <w:rFonts w:ascii="Arial" w:hAnsi="Arial" w:cs="Arial"/>
          <w:b/>
          <w:i/>
          <w:color w:val="FF0000"/>
        </w:rPr>
        <w:t xml:space="preserve"> de </w:t>
      </w:r>
      <w:r w:rsidRPr="00C854AA">
        <w:rPr>
          <w:rFonts w:ascii="Arial" w:hAnsi="Arial" w:cs="Arial"/>
          <w:b/>
          <w:i/>
          <w:color w:val="FF0000"/>
        </w:rPr>
        <w:t xml:space="preserve">maio </w:t>
      </w:r>
      <w:r w:rsidRPr="00C854AA">
        <w:rPr>
          <w:rFonts w:ascii="Arial" w:hAnsi="Arial" w:cs="Arial"/>
          <w:b/>
          <w:i/>
          <w:color w:val="FF0000"/>
        </w:rPr>
        <w:t>de 201</w:t>
      </w:r>
      <w:r w:rsidRPr="00C854AA">
        <w:rPr>
          <w:rFonts w:ascii="Arial" w:hAnsi="Arial" w:cs="Arial"/>
          <w:b/>
          <w:i/>
          <w:color w:val="FF0000"/>
        </w:rPr>
        <w:t>6</w:t>
      </w:r>
      <w:r w:rsidRPr="00C854AA">
        <w:rPr>
          <w:rFonts w:ascii="Arial" w:hAnsi="Arial" w:cs="Arial"/>
          <w:color w:val="FF0000"/>
        </w:rPr>
        <w:t>)</w:t>
      </w:r>
    </w:p>
    <w:p w:rsidR="00C854AA" w:rsidRPr="00125F0D" w:rsidRDefault="00C854A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F0F7F">
        <w:rPr>
          <w:rFonts w:ascii="Arial" w:hAnsi="Arial" w:cs="Arial"/>
          <w:b/>
          <w:bCs/>
          <w:color w:val="000080"/>
        </w:rPr>
        <w:t>12</w:t>
      </w:r>
      <w:r w:rsidR="0005715E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56D39">
        <w:rPr>
          <w:rFonts w:ascii="Arial" w:hAnsi="Arial" w:cs="Arial"/>
          <w:b/>
          <w:bCs/>
          <w:color w:val="000080"/>
        </w:rPr>
        <w:t>2</w:t>
      </w:r>
      <w:r w:rsidR="000E676E">
        <w:rPr>
          <w:rFonts w:ascii="Arial" w:hAnsi="Arial" w:cs="Arial"/>
          <w:b/>
          <w:bCs/>
          <w:color w:val="000080"/>
        </w:rPr>
        <w:t>5</w:t>
      </w:r>
      <w:r w:rsidR="00C429C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4A18">
        <w:rPr>
          <w:rFonts w:ascii="Arial" w:hAnsi="Arial" w:cs="Arial"/>
          <w:b/>
          <w:bCs/>
          <w:color w:val="000080"/>
        </w:rPr>
        <w:t>A</w:t>
      </w:r>
      <w:r w:rsidR="00180385">
        <w:rPr>
          <w:rFonts w:ascii="Arial" w:hAnsi="Arial" w:cs="Arial"/>
          <w:b/>
          <w:bCs/>
          <w:color w:val="000080"/>
        </w:rPr>
        <w:t>B</w:t>
      </w:r>
      <w:r w:rsidR="00B34A18">
        <w:rPr>
          <w:rFonts w:ascii="Arial" w:hAnsi="Arial" w:cs="Arial"/>
          <w:b/>
          <w:bCs/>
          <w:color w:val="000080"/>
        </w:rPr>
        <w:t>R</w:t>
      </w:r>
      <w:r w:rsidR="00180385">
        <w:rPr>
          <w:rFonts w:ascii="Arial" w:hAnsi="Arial" w:cs="Arial"/>
          <w:b/>
          <w:bCs/>
          <w:color w:val="000080"/>
        </w:rPr>
        <w:t xml:space="preserve">IL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90AD1" w:rsidRDefault="00890AD1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204BD8" w:rsidRDefault="00204BD8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94398" w:rsidRPr="00261398" w:rsidRDefault="00794398" w:rsidP="0079439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6139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61398">
        <w:rPr>
          <w:rFonts w:ascii="Arial" w:hAnsi="Arial" w:cs="Arial"/>
          <w:color w:val="000000"/>
        </w:rPr>
        <w:t>, no uso da competência que lhe foi delegada pelo art. 1</w:t>
      </w:r>
      <w:r w:rsidRPr="00261398">
        <w:rPr>
          <w:rFonts w:ascii="Arial" w:hAnsi="Arial" w:cs="Arial"/>
          <w:color w:val="000000"/>
          <w:u w:val="words"/>
          <w:vertAlign w:val="superscript"/>
        </w:rPr>
        <w:t>o</w:t>
      </w:r>
      <w:r w:rsidRPr="00261398">
        <w:rPr>
          <w:rFonts w:ascii="Arial" w:hAnsi="Arial" w:cs="Arial"/>
          <w:color w:val="000000"/>
        </w:rPr>
        <w:t xml:space="preserve"> da Portaria MME </w:t>
      </w:r>
      <w:proofErr w:type="gramStart"/>
      <w:r w:rsidRPr="00261398">
        <w:rPr>
          <w:rFonts w:ascii="Arial" w:hAnsi="Arial" w:cs="Arial"/>
          <w:color w:val="000000"/>
        </w:rPr>
        <w:t>n</w:t>
      </w:r>
      <w:r w:rsidRPr="00261398">
        <w:rPr>
          <w:rFonts w:ascii="Arial" w:hAnsi="Arial" w:cs="Arial"/>
          <w:color w:val="000000"/>
          <w:u w:val="words"/>
          <w:vertAlign w:val="superscript"/>
        </w:rPr>
        <w:t>o</w:t>
      </w:r>
      <w:r w:rsidRPr="00261398">
        <w:rPr>
          <w:rFonts w:ascii="Arial" w:hAnsi="Arial" w:cs="Arial"/>
          <w:color w:val="000000"/>
        </w:rPr>
        <w:t xml:space="preserve"> 440</w:t>
      </w:r>
      <w:proofErr w:type="gramEnd"/>
      <w:r w:rsidRPr="00261398">
        <w:rPr>
          <w:rFonts w:ascii="Arial" w:hAnsi="Arial" w:cs="Arial"/>
          <w:color w:val="000000"/>
        </w:rPr>
        <w:t>, de 20 de julho de 2012, tendo em vista o disposto no art. 6</w:t>
      </w:r>
      <w:r w:rsidRPr="00261398">
        <w:rPr>
          <w:rFonts w:ascii="Arial" w:hAnsi="Arial" w:cs="Arial"/>
          <w:color w:val="000000"/>
          <w:u w:val="words"/>
          <w:vertAlign w:val="superscript"/>
        </w:rPr>
        <w:t>o</w:t>
      </w:r>
      <w:r w:rsidRPr="00261398">
        <w:rPr>
          <w:rFonts w:ascii="Arial" w:hAnsi="Arial" w:cs="Arial"/>
          <w:color w:val="000000"/>
        </w:rPr>
        <w:t xml:space="preserve"> do Decreto n</w:t>
      </w:r>
      <w:r w:rsidRPr="00261398">
        <w:rPr>
          <w:rFonts w:ascii="Arial" w:hAnsi="Arial" w:cs="Arial"/>
          <w:color w:val="000000"/>
          <w:u w:val="words"/>
          <w:vertAlign w:val="superscript"/>
        </w:rPr>
        <w:t>o</w:t>
      </w:r>
      <w:r w:rsidRPr="00261398">
        <w:rPr>
          <w:rFonts w:ascii="Arial" w:hAnsi="Arial" w:cs="Arial"/>
          <w:color w:val="000000"/>
        </w:rPr>
        <w:t xml:space="preserve"> 6.144, de 3 de julho de 2007, na decisão judicial proferida nos autos do Mandado de Segurança n</w:t>
      </w:r>
      <w:r w:rsidRPr="00261398">
        <w:rPr>
          <w:rFonts w:ascii="Arial" w:hAnsi="Arial" w:cs="Arial"/>
          <w:strike/>
          <w:color w:val="000000"/>
        </w:rPr>
        <w:t>º</w:t>
      </w:r>
      <w:r w:rsidRPr="00261398">
        <w:rPr>
          <w:rFonts w:ascii="Arial" w:hAnsi="Arial" w:cs="Arial"/>
          <w:color w:val="000000"/>
        </w:rPr>
        <w:t xml:space="preserve"> 0020659-59.2014.4.01.3400 - 2</w:t>
      </w:r>
      <w:r w:rsidRPr="00261398">
        <w:rPr>
          <w:rFonts w:ascii="Arial" w:hAnsi="Arial" w:cs="Arial"/>
          <w:color w:val="000000"/>
          <w:u w:val="single"/>
          <w:vertAlign w:val="superscript"/>
        </w:rPr>
        <w:t>a</w:t>
      </w:r>
      <w:r w:rsidRPr="00261398">
        <w:rPr>
          <w:rFonts w:ascii="Arial" w:hAnsi="Arial" w:cs="Arial"/>
          <w:color w:val="000000"/>
        </w:rPr>
        <w:t xml:space="preserve"> Vara Federal da Seção Judiciária do Distrito Federal</w:t>
      </w:r>
      <w:r w:rsidRPr="00261398">
        <w:rPr>
          <w:rFonts w:ascii="Arial" w:hAnsi="Arial" w:cs="Arial"/>
        </w:rPr>
        <w:t>, e o q</w:t>
      </w:r>
      <w:r w:rsidRPr="00261398">
        <w:rPr>
          <w:rFonts w:ascii="Arial" w:hAnsi="Arial" w:cs="Arial"/>
          <w:color w:val="000000"/>
        </w:rPr>
        <w:t xml:space="preserve">ue consta </w:t>
      </w:r>
      <w:r w:rsidRPr="00261398">
        <w:rPr>
          <w:rFonts w:ascii="Arial" w:hAnsi="Arial" w:cs="Arial"/>
        </w:rPr>
        <w:t>do Processo n</w:t>
      </w:r>
      <w:r w:rsidRPr="00261398">
        <w:rPr>
          <w:rFonts w:ascii="Arial" w:hAnsi="Arial" w:cs="Arial"/>
          <w:u w:val="words"/>
          <w:vertAlign w:val="superscript"/>
        </w:rPr>
        <w:t>o</w:t>
      </w:r>
      <w:r w:rsidRPr="00261398">
        <w:rPr>
          <w:rFonts w:ascii="Arial" w:hAnsi="Arial" w:cs="Arial"/>
        </w:rPr>
        <w:t xml:space="preserve"> </w:t>
      </w:r>
      <w:r w:rsidRPr="00261398">
        <w:rPr>
          <w:rFonts w:ascii="Arial" w:hAnsi="Arial" w:cs="Arial"/>
          <w:color w:val="000000"/>
        </w:rPr>
        <w:t>48500.001047/2013-17</w:t>
      </w:r>
      <w:r w:rsidRPr="00261398">
        <w:rPr>
          <w:rFonts w:ascii="Arial" w:hAnsi="Arial" w:cs="Arial"/>
        </w:rPr>
        <w:t>, resolve:</w:t>
      </w:r>
    </w:p>
    <w:p w:rsidR="00794398" w:rsidRPr="00261398" w:rsidRDefault="00794398" w:rsidP="0079439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94398" w:rsidRPr="00261398" w:rsidRDefault="00794398" w:rsidP="0079439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61398">
        <w:rPr>
          <w:rFonts w:ascii="Arial" w:hAnsi="Arial" w:cs="Arial"/>
        </w:rPr>
        <w:t>Art. 1</w:t>
      </w:r>
      <w:r w:rsidRPr="00261398">
        <w:rPr>
          <w:rFonts w:ascii="Arial" w:hAnsi="Arial" w:cs="Arial"/>
          <w:strike/>
        </w:rPr>
        <w:t>º</w:t>
      </w:r>
      <w:r w:rsidRPr="00261398">
        <w:rPr>
          <w:rFonts w:ascii="Arial" w:hAnsi="Arial" w:cs="Arial"/>
        </w:rPr>
        <w:t xml:space="preserve"> Aprovar</w:t>
      </w:r>
      <w:r w:rsidRPr="00261398">
        <w:rPr>
          <w:rFonts w:ascii="Arial" w:hAnsi="Arial" w:cs="Arial"/>
          <w:color w:val="000000"/>
        </w:rPr>
        <w:t xml:space="preserve">, </w:t>
      </w:r>
      <w:r w:rsidRPr="00261398">
        <w:rPr>
          <w:rFonts w:ascii="Arial" w:hAnsi="Arial" w:cs="Arial"/>
          <w:i/>
          <w:color w:val="000000"/>
        </w:rPr>
        <w:t>sub judice</w:t>
      </w:r>
      <w:r w:rsidRPr="00261398">
        <w:rPr>
          <w:rFonts w:ascii="Arial" w:hAnsi="Arial" w:cs="Arial"/>
          <w:color w:val="000000"/>
        </w:rPr>
        <w:t xml:space="preserve">, </w:t>
      </w:r>
      <w:r w:rsidRPr="00261398">
        <w:rPr>
          <w:rFonts w:ascii="Arial" w:hAnsi="Arial" w:cs="Arial"/>
        </w:rPr>
        <w:t xml:space="preserve">o enquadramento </w:t>
      </w:r>
      <w:r w:rsidRPr="00261398">
        <w:rPr>
          <w:rFonts w:ascii="Arial" w:hAnsi="Arial" w:cs="Arial"/>
          <w:color w:val="000000"/>
        </w:rPr>
        <w:t xml:space="preserve">no Regime Especial de Incentivos para o Desenvolvimento da Infraestrutura - REIDI dos </w:t>
      </w:r>
      <w:r w:rsidRPr="00261398">
        <w:rPr>
          <w:rFonts w:ascii="Arial" w:hAnsi="Arial" w:cs="Arial"/>
        </w:rPr>
        <w:t>projetos de instalações de distribuição de energia elétrica</w:t>
      </w:r>
      <w:r w:rsidRPr="00261398">
        <w:rPr>
          <w:rFonts w:ascii="Arial" w:hAnsi="Arial" w:cs="Arial"/>
          <w:color w:val="000000"/>
        </w:rPr>
        <w:t xml:space="preserve">, de titularidade da empresa </w:t>
      </w:r>
      <w:r w:rsidRPr="00261398">
        <w:rPr>
          <w:rFonts w:ascii="Arial" w:hAnsi="Arial" w:cs="Arial"/>
        </w:rPr>
        <w:t>Centrais Elétricas do Pará S.A. - CELPA</w:t>
      </w:r>
      <w:r w:rsidRPr="00261398">
        <w:rPr>
          <w:rFonts w:ascii="Arial" w:hAnsi="Arial" w:cs="Arial"/>
          <w:color w:val="000000"/>
        </w:rPr>
        <w:t>, inscrita no CNPJ/MF sob o n</w:t>
      </w:r>
      <w:r w:rsidRPr="00261398">
        <w:rPr>
          <w:rFonts w:ascii="Arial" w:hAnsi="Arial" w:cs="Arial"/>
          <w:strike/>
          <w:color w:val="000000"/>
        </w:rPr>
        <w:t>º</w:t>
      </w:r>
      <w:r w:rsidRPr="00261398">
        <w:rPr>
          <w:rFonts w:ascii="Arial" w:hAnsi="Arial" w:cs="Arial"/>
          <w:color w:val="000000"/>
        </w:rPr>
        <w:t xml:space="preserve"> </w:t>
      </w:r>
      <w:r w:rsidRPr="00261398">
        <w:rPr>
          <w:rFonts w:ascii="Arial" w:hAnsi="Arial" w:cs="Arial"/>
        </w:rPr>
        <w:t>04.895.728/0001-80</w:t>
      </w:r>
      <w:r w:rsidRPr="00261398">
        <w:rPr>
          <w:rFonts w:ascii="Arial" w:hAnsi="Arial" w:cs="Arial"/>
          <w:color w:val="000000"/>
        </w:rPr>
        <w:t xml:space="preserve">, detalhados nos Anexos I a XLI </w:t>
      </w:r>
      <w:proofErr w:type="gramStart"/>
      <w:r w:rsidRPr="00261398">
        <w:rPr>
          <w:rFonts w:ascii="Arial" w:hAnsi="Arial" w:cs="Arial"/>
          <w:color w:val="000000"/>
        </w:rPr>
        <w:t>da presente</w:t>
      </w:r>
      <w:proofErr w:type="gramEnd"/>
      <w:r w:rsidRPr="00261398">
        <w:rPr>
          <w:rFonts w:ascii="Arial" w:hAnsi="Arial" w:cs="Arial"/>
          <w:color w:val="000000"/>
        </w:rPr>
        <w:t xml:space="preserve"> Portaria.</w:t>
      </w:r>
    </w:p>
    <w:p w:rsidR="00794398" w:rsidRPr="00261398" w:rsidRDefault="00794398" w:rsidP="0079439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94398" w:rsidRPr="00261398" w:rsidRDefault="00794398" w:rsidP="007943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61398">
        <w:rPr>
          <w:rFonts w:ascii="Arial" w:hAnsi="Arial" w:cs="Arial"/>
          <w:color w:val="000000"/>
        </w:rPr>
        <w:t xml:space="preserve">Parágrafo único. Os projetos de que trata o </w:t>
      </w:r>
      <w:r w:rsidRPr="00910D6A">
        <w:rPr>
          <w:rFonts w:ascii="Arial" w:hAnsi="Arial" w:cs="Arial"/>
          <w:b/>
          <w:color w:val="000000"/>
        </w:rPr>
        <w:t>caput</w:t>
      </w:r>
      <w:r w:rsidRPr="00261398">
        <w:rPr>
          <w:rFonts w:ascii="Arial" w:hAnsi="Arial" w:cs="Arial"/>
          <w:color w:val="000000"/>
        </w:rPr>
        <w:t xml:space="preserve"> são </w:t>
      </w:r>
      <w:r w:rsidRPr="00261398">
        <w:rPr>
          <w:rFonts w:ascii="Arial" w:hAnsi="Arial" w:cs="Arial"/>
        </w:rPr>
        <w:t>objeto do Contrato de Concessão de Distribuição n</w:t>
      </w:r>
      <w:r w:rsidRPr="00261398">
        <w:rPr>
          <w:rFonts w:ascii="Arial" w:hAnsi="Arial" w:cs="Arial"/>
          <w:strike/>
        </w:rPr>
        <w:t>º</w:t>
      </w:r>
      <w:r w:rsidRPr="00261398">
        <w:rPr>
          <w:rFonts w:ascii="Arial" w:hAnsi="Arial" w:cs="Arial"/>
        </w:rPr>
        <w:t xml:space="preserve"> 182/1998-ANEEL, celebrado em 28 de julho de 1998, sendo </w:t>
      </w:r>
      <w:r w:rsidRPr="00261398">
        <w:rPr>
          <w:rFonts w:ascii="Arial" w:hAnsi="Arial" w:cs="Arial"/>
          <w:color w:val="000000"/>
        </w:rPr>
        <w:t>alcançados pelo art. 3</w:t>
      </w:r>
      <w:r w:rsidRPr="00261398">
        <w:rPr>
          <w:rFonts w:ascii="Arial" w:hAnsi="Arial" w:cs="Arial"/>
          <w:color w:val="000000"/>
          <w:u w:val="words"/>
          <w:vertAlign w:val="superscript"/>
        </w:rPr>
        <w:t>o</w:t>
      </w:r>
      <w:r w:rsidRPr="00261398">
        <w:rPr>
          <w:rFonts w:ascii="Arial" w:hAnsi="Arial" w:cs="Arial"/>
          <w:color w:val="000000"/>
        </w:rPr>
        <w:t xml:space="preserve">, inciso IV, da Portaria MME </w:t>
      </w:r>
      <w:proofErr w:type="gramStart"/>
      <w:r w:rsidRPr="00261398">
        <w:rPr>
          <w:rFonts w:ascii="Arial" w:hAnsi="Arial" w:cs="Arial"/>
          <w:color w:val="000000"/>
        </w:rPr>
        <w:t>n</w:t>
      </w:r>
      <w:r w:rsidRPr="00261398">
        <w:rPr>
          <w:rFonts w:ascii="Arial" w:hAnsi="Arial" w:cs="Arial"/>
          <w:color w:val="000000"/>
          <w:u w:val="words"/>
          <w:vertAlign w:val="superscript"/>
        </w:rPr>
        <w:t>o</w:t>
      </w:r>
      <w:r w:rsidRPr="00261398">
        <w:rPr>
          <w:rFonts w:ascii="Arial" w:hAnsi="Arial" w:cs="Arial"/>
          <w:color w:val="000000"/>
        </w:rPr>
        <w:t> 319</w:t>
      </w:r>
      <w:proofErr w:type="gramEnd"/>
      <w:r w:rsidRPr="00261398">
        <w:rPr>
          <w:rFonts w:ascii="Arial" w:hAnsi="Arial" w:cs="Arial"/>
          <w:color w:val="000000"/>
        </w:rPr>
        <w:t>, de 26 de setembro de 2008, em face da decisão judicial.</w:t>
      </w:r>
    </w:p>
    <w:p w:rsidR="00794398" w:rsidRPr="00261398" w:rsidRDefault="00794398" w:rsidP="0079439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94398" w:rsidRPr="00261398" w:rsidRDefault="00794398" w:rsidP="00794398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61398">
        <w:rPr>
          <w:rFonts w:ascii="Arial" w:hAnsi="Arial" w:cs="Arial"/>
          <w:color w:val="000000"/>
        </w:rPr>
        <w:t>Art. 2</w:t>
      </w:r>
      <w:r w:rsidRPr="00261398">
        <w:rPr>
          <w:rFonts w:ascii="Arial" w:hAnsi="Arial" w:cs="Arial"/>
          <w:strike/>
          <w:color w:val="000000"/>
        </w:rPr>
        <w:t>º</w:t>
      </w:r>
      <w:r w:rsidRPr="00261398">
        <w:rPr>
          <w:rFonts w:ascii="Arial" w:hAnsi="Arial" w:cs="Arial"/>
          <w:color w:val="000000"/>
        </w:rPr>
        <w:t xml:space="preserve"> A Centrais Elétricas do Pará S.A. - CELPA deverá encaminhar ao Ministério de Minas e Energia, no prazo de até tinta dias, contado da data de publicação desta Portaria, as estimativas dos investimentos e demais informações necessárias para atender à Instrução Normativa n</w:t>
      </w:r>
      <w:r w:rsidRPr="00261398">
        <w:rPr>
          <w:rFonts w:ascii="Arial" w:hAnsi="Arial" w:cs="Arial"/>
          <w:strike/>
          <w:color w:val="000000"/>
        </w:rPr>
        <w:t>º</w:t>
      </w:r>
      <w:r w:rsidRPr="00261398">
        <w:rPr>
          <w:rFonts w:ascii="Arial" w:hAnsi="Arial" w:cs="Arial"/>
          <w:color w:val="000000"/>
        </w:rPr>
        <w:t xml:space="preserve"> 1.307, de 27 de dezembro de 2012, na forma do Anexo XLII desta Portaria, assinado </w:t>
      </w:r>
      <w:proofErr w:type="gramStart"/>
      <w:r w:rsidRPr="00261398">
        <w:rPr>
          <w:rFonts w:ascii="Arial" w:hAnsi="Arial" w:cs="Arial"/>
          <w:color w:val="000000"/>
        </w:rPr>
        <w:t>pelos Presidente</w:t>
      </w:r>
      <w:proofErr w:type="gramEnd"/>
      <w:r w:rsidRPr="00261398">
        <w:rPr>
          <w:rFonts w:ascii="Arial" w:hAnsi="Arial" w:cs="Arial"/>
          <w:color w:val="000000"/>
        </w:rPr>
        <w:t>, Responsável Técnico e Contador da pessoa jurídica titular dos projetos, acompanhado da justificativa do pleito e dos benefícios do investimento de infraestrutura esperados para o desenvolvimento econômico e social da região de localização, para cada um dos projetos aprovados.</w:t>
      </w:r>
    </w:p>
    <w:p w:rsidR="00794398" w:rsidRDefault="00794398" w:rsidP="00794398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94398" w:rsidRPr="00261398" w:rsidRDefault="00794398" w:rsidP="00794398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61398">
        <w:rPr>
          <w:rFonts w:ascii="Arial" w:hAnsi="Arial" w:cs="Arial"/>
          <w:color w:val="000000"/>
        </w:rPr>
        <w:t>§ 1</w:t>
      </w:r>
      <w:r w:rsidRPr="00261398">
        <w:rPr>
          <w:rFonts w:ascii="Arial" w:hAnsi="Arial" w:cs="Arial"/>
          <w:strike/>
          <w:color w:val="000000"/>
        </w:rPr>
        <w:t>º</w:t>
      </w:r>
      <w:r w:rsidRPr="00261398">
        <w:rPr>
          <w:rFonts w:ascii="Arial" w:hAnsi="Arial" w:cs="Arial"/>
          <w:color w:val="000000"/>
        </w:rPr>
        <w:t xml:space="preserve"> A eficácia deste ato fica condicionada à apresentação das informações de que trata o </w:t>
      </w:r>
      <w:r w:rsidRPr="00261398">
        <w:rPr>
          <w:rFonts w:ascii="Arial" w:hAnsi="Arial" w:cs="Arial"/>
          <w:b/>
          <w:color w:val="000000"/>
        </w:rPr>
        <w:t>caput</w:t>
      </w:r>
      <w:r w:rsidRPr="00261398">
        <w:rPr>
          <w:rFonts w:ascii="Arial" w:hAnsi="Arial" w:cs="Arial"/>
          <w:color w:val="000000"/>
        </w:rPr>
        <w:t>, reconhecida por meio de Despacho do Secretário de Planejamento e Desenvolvimento Energético do Ministério de Minas e Energia.</w:t>
      </w:r>
      <w:r w:rsidR="00101D90">
        <w:rPr>
          <w:rFonts w:ascii="Arial" w:hAnsi="Arial" w:cs="Arial"/>
          <w:color w:val="000000"/>
        </w:rPr>
        <w:t xml:space="preserve"> </w:t>
      </w:r>
      <w:r w:rsidR="00101D90" w:rsidRPr="00101D90">
        <w:rPr>
          <w:rFonts w:ascii="Arial" w:hAnsi="Arial" w:cs="Arial"/>
          <w:color w:val="000000"/>
        </w:rPr>
        <w:t>(</w:t>
      </w:r>
      <w:r w:rsidR="00101D90" w:rsidRPr="00101D90">
        <w:rPr>
          <w:rFonts w:ascii="Arial" w:hAnsi="Arial" w:cs="Arial"/>
          <w:color w:val="FF0000"/>
        </w:rPr>
        <w:t xml:space="preserve">Ver Despacho SPE/MME de 28/8/2014 - </w:t>
      </w:r>
      <w:proofErr w:type="gramStart"/>
      <w:r w:rsidR="00101D90" w:rsidRPr="00101D90">
        <w:rPr>
          <w:rFonts w:ascii="Arial" w:hAnsi="Arial" w:cs="Arial"/>
          <w:color w:val="FF0000"/>
        </w:rPr>
        <w:t>DOU</w:t>
      </w:r>
      <w:proofErr w:type="gramEnd"/>
      <w:r w:rsidR="00101D90" w:rsidRPr="00101D90">
        <w:rPr>
          <w:rFonts w:ascii="Arial" w:hAnsi="Arial" w:cs="Arial"/>
          <w:color w:val="FF0000"/>
        </w:rPr>
        <w:t xml:space="preserve"> de 29/8/2014</w:t>
      </w:r>
      <w:r w:rsidR="00101D90" w:rsidRPr="00101D90">
        <w:rPr>
          <w:rFonts w:ascii="Arial" w:hAnsi="Arial" w:cs="Arial"/>
          <w:color w:val="000000"/>
        </w:rPr>
        <w:t>)</w:t>
      </w:r>
    </w:p>
    <w:p w:rsidR="00794398" w:rsidRDefault="00794398" w:rsidP="00794398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94398" w:rsidRPr="00261398" w:rsidRDefault="00794398" w:rsidP="00794398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61398">
        <w:rPr>
          <w:rFonts w:ascii="Arial" w:hAnsi="Arial" w:cs="Arial"/>
          <w:color w:val="000000"/>
        </w:rPr>
        <w:t>§ 2</w:t>
      </w:r>
      <w:r w:rsidRPr="00261398">
        <w:rPr>
          <w:rFonts w:ascii="Arial" w:hAnsi="Arial" w:cs="Arial"/>
          <w:strike/>
          <w:color w:val="000000"/>
        </w:rPr>
        <w:t>º</w:t>
      </w:r>
      <w:r w:rsidRPr="00261398">
        <w:rPr>
          <w:rFonts w:ascii="Arial" w:hAnsi="Arial" w:cs="Arial"/>
          <w:color w:val="000000"/>
        </w:rPr>
        <w:t xml:space="preserve"> As estimativas dos investimentos, de exclusiva responsabilidade </w:t>
      </w:r>
      <w:proofErr w:type="gramStart"/>
      <w:r w:rsidRPr="00261398">
        <w:rPr>
          <w:rFonts w:ascii="Arial" w:hAnsi="Arial" w:cs="Arial"/>
          <w:color w:val="000000"/>
        </w:rPr>
        <w:t>da Centrais</w:t>
      </w:r>
      <w:proofErr w:type="gramEnd"/>
      <w:r w:rsidRPr="00261398">
        <w:rPr>
          <w:rFonts w:ascii="Arial" w:hAnsi="Arial" w:cs="Arial"/>
          <w:color w:val="000000"/>
        </w:rPr>
        <w:t xml:space="preserve"> Elétricas do Pará S.A. - CELPA, deverão ter por base o mês de abril de 2014.</w:t>
      </w:r>
    </w:p>
    <w:p w:rsidR="00794398" w:rsidRPr="00261398" w:rsidRDefault="00794398" w:rsidP="00794398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94398" w:rsidRPr="00261398" w:rsidRDefault="00794398" w:rsidP="00794398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61398">
        <w:rPr>
          <w:rFonts w:ascii="Arial" w:hAnsi="Arial" w:cs="Arial"/>
          <w:color w:val="000000"/>
        </w:rPr>
        <w:t>Art. 3</w:t>
      </w:r>
      <w:r w:rsidRPr="00261398">
        <w:rPr>
          <w:rFonts w:ascii="Arial" w:hAnsi="Arial" w:cs="Arial"/>
          <w:strike/>
          <w:color w:val="000000"/>
        </w:rPr>
        <w:t>º</w:t>
      </w:r>
      <w:r w:rsidRPr="00261398">
        <w:rPr>
          <w:rFonts w:ascii="Arial" w:hAnsi="Arial" w:cs="Arial"/>
          <w:color w:val="000000"/>
        </w:rPr>
        <w:t xml:space="preserve"> A Centrais Elétricas do Pará S.A. - CELPA deverá informar à Secretaria da Receita Federal do Brasil a incorporação dos bens e materiais na obra de infraestrutura correspondentes a cada projeto aprovado nesta Portaria, no prazo de até trinta dias após a entrada em operação comercial.</w:t>
      </w:r>
    </w:p>
    <w:p w:rsidR="00794398" w:rsidRPr="00261398" w:rsidRDefault="00794398" w:rsidP="00794398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94398" w:rsidRPr="00261398" w:rsidRDefault="00794398" w:rsidP="00794398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61398">
        <w:rPr>
          <w:rFonts w:ascii="Arial" w:hAnsi="Arial" w:cs="Arial"/>
        </w:rPr>
        <w:t xml:space="preserve">Parágrafo único. Caberá a </w:t>
      </w:r>
      <w:r w:rsidRPr="00261398">
        <w:rPr>
          <w:rFonts w:ascii="Arial" w:hAnsi="Arial" w:cs="Arial"/>
          <w:color w:val="000000"/>
        </w:rPr>
        <w:t>Centrais Elétricas do Pará S.A. - CELPA manter os registros de incorporação no seu ativo imobilizado relativos aos bens, serviços e outros insumos contratados com aplicação do REIDI, de acordo com cada projeto aprovado nesta Portaria, para fins de fiscalização da Secretaria da Receita Federal do Brasil.</w:t>
      </w:r>
    </w:p>
    <w:p w:rsidR="00794398" w:rsidRPr="00261398" w:rsidRDefault="00794398" w:rsidP="00794398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94398" w:rsidRPr="00261398" w:rsidRDefault="00794398" w:rsidP="00794398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61398">
        <w:rPr>
          <w:rFonts w:ascii="Arial" w:hAnsi="Arial" w:cs="Arial"/>
          <w:color w:val="000000"/>
        </w:rPr>
        <w:lastRenderedPageBreak/>
        <w:t>Art. 4</w:t>
      </w:r>
      <w:r w:rsidRPr="00261398">
        <w:rPr>
          <w:rFonts w:ascii="Arial" w:hAnsi="Arial" w:cs="Arial"/>
          <w:strike/>
          <w:color w:val="000000"/>
        </w:rPr>
        <w:t>º</w:t>
      </w:r>
      <w:r w:rsidRPr="00261398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794398" w:rsidRPr="00261398" w:rsidRDefault="00794398" w:rsidP="00794398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94398" w:rsidRPr="00261398" w:rsidRDefault="00794398" w:rsidP="00794398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61398">
        <w:rPr>
          <w:rFonts w:ascii="Arial" w:hAnsi="Arial" w:cs="Arial"/>
          <w:color w:val="000000"/>
        </w:rPr>
        <w:t>Art. 5</w:t>
      </w:r>
      <w:r w:rsidRPr="00261398">
        <w:rPr>
          <w:rFonts w:ascii="Arial" w:hAnsi="Arial" w:cs="Arial"/>
          <w:strike/>
          <w:color w:val="000000"/>
        </w:rPr>
        <w:t>º</w:t>
      </w:r>
      <w:r w:rsidRPr="00261398">
        <w:rPr>
          <w:rFonts w:ascii="Arial" w:hAnsi="Arial" w:cs="Arial"/>
          <w:color w:val="000000"/>
        </w:rPr>
        <w:t xml:space="preserve"> A habilitação dos projetos no REIDI e o cancelamento da habilitação deverão ser requeridos à Secretaria da Receita Federal do Brasil, observado que a Centrais Elétricas do Pará S.A. - CELPA encontra-se em Recuperação Judicial.</w:t>
      </w:r>
    </w:p>
    <w:p w:rsidR="00794398" w:rsidRPr="00261398" w:rsidRDefault="00794398" w:rsidP="00794398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94398" w:rsidRPr="00261398" w:rsidRDefault="00794398" w:rsidP="00794398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61398">
        <w:rPr>
          <w:rFonts w:ascii="Arial" w:hAnsi="Arial" w:cs="Arial"/>
          <w:color w:val="000000"/>
        </w:rPr>
        <w:t>Art. 6</w:t>
      </w:r>
      <w:r w:rsidRPr="00261398">
        <w:rPr>
          <w:rFonts w:ascii="Arial" w:hAnsi="Arial" w:cs="Arial"/>
          <w:strike/>
          <w:color w:val="000000"/>
        </w:rPr>
        <w:t>º</w:t>
      </w:r>
      <w:r w:rsidRPr="0026139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48415E" w:rsidRPr="0048415E" w:rsidRDefault="0048415E" w:rsidP="0048415E">
      <w:pPr>
        <w:ind w:firstLine="1134"/>
        <w:jc w:val="both"/>
        <w:rPr>
          <w:rFonts w:ascii="Arial" w:hAnsi="Arial" w:cs="Arial"/>
          <w:sz w:val="18"/>
          <w:szCs w:val="18"/>
        </w:rPr>
      </w:pPr>
    </w:p>
    <w:p w:rsidR="00764AA7" w:rsidRPr="002F7283" w:rsidRDefault="0082118A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C067FB">
        <w:rPr>
          <w:rFonts w:ascii="Arial" w:hAnsi="Arial" w:cs="Arial"/>
          <w:b/>
          <w:bCs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794398" w:rsidRDefault="00764AA7" w:rsidP="005F0F7F">
      <w:pPr>
        <w:autoSpaceDE w:val="0"/>
        <w:ind w:right="-40"/>
        <w:jc w:val="both"/>
        <w:rPr>
          <w:rFonts w:ascii="Arial" w:hAnsi="Arial" w:cs="Arial"/>
          <w:color w:val="000000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F27B61">
        <w:rPr>
          <w:rFonts w:ascii="Arial" w:hAnsi="Arial" w:cs="Arial"/>
          <w:color w:val="FF0000"/>
        </w:rPr>
        <w:t>2</w:t>
      </w:r>
      <w:r w:rsidR="000E676E">
        <w:rPr>
          <w:rFonts w:ascii="Arial" w:hAnsi="Arial" w:cs="Arial"/>
          <w:color w:val="FF0000"/>
        </w:rPr>
        <w:t>8</w:t>
      </w:r>
      <w:r w:rsidRPr="002F7283">
        <w:rPr>
          <w:rFonts w:ascii="Arial" w:hAnsi="Arial" w:cs="Arial"/>
          <w:color w:val="FF0000"/>
        </w:rPr>
        <w:t>.</w:t>
      </w:r>
      <w:r w:rsidR="00180385">
        <w:rPr>
          <w:rFonts w:ascii="Arial" w:hAnsi="Arial" w:cs="Arial"/>
          <w:color w:val="FF0000"/>
        </w:rPr>
        <w:t>4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342BF2" w:rsidRPr="0037257C">
        <w:rPr>
          <w:rFonts w:ascii="Arial" w:hAnsi="Arial" w:cs="Arial"/>
          <w:color w:val="000000"/>
        </w:rPr>
        <w:t xml:space="preserve"> </w:t>
      </w:r>
    </w:p>
    <w:p w:rsidR="00794398" w:rsidRDefault="0079439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FA75F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Subestação Vila União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FA75FF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pStyle w:val="Default"/>
              <w:jc w:val="both"/>
            </w:pPr>
            <w:r w:rsidRPr="004E3B45">
              <w:t>Implantação de uma Subestação Seccionadora em 34,5</w:t>
            </w:r>
            <w:proofErr w:type="gramStart"/>
            <w:r w:rsidRPr="004E3B45">
              <w:t>kV</w:t>
            </w:r>
            <w:proofErr w:type="gramEnd"/>
            <w:r w:rsidRPr="004E3B45">
              <w:t xml:space="preserve">, em Vila União, compreendendo três </w:t>
            </w:r>
            <w:proofErr w:type="spellStart"/>
            <w:r w:rsidRPr="004E3B45">
              <w:t>Bay</w:t>
            </w:r>
            <w:proofErr w:type="spellEnd"/>
            <w:r w:rsidRPr="004E3B45">
              <w:t xml:space="preserve"> de Entrada de Linha em 34,5kV e quatro Reguladores de Tensão em 34,5kV.</w:t>
            </w:r>
          </w:p>
        </w:tc>
      </w:tr>
      <w:tr w:rsidR="0005715E" w:rsidRPr="004E3B45" w:rsidTr="00FA75F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FA75F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FA75FF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FA75FF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FA75FF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FA75FF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FA75FF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FA75FF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FA75FF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FA75FF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II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FA75F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Subestação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Curuá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FA75FF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Implantação de uma Subestação Elevadora 13,8/34,5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, em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Curuá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, compreendendo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</w:t>
            </w:r>
            <w:r w:rsidRPr="004E3B45">
              <w:rPr>
                <w:rFonts w:ascii="Arial" w:hAnsi="Arial" w:cs="Arial"/>
              </w:rPr>
              <w:t>de Entrada de Linha</w:t>
            </w:r>
            <w:r w:rsidRPr="004E3B45">
              <w:rPr>
                <w:rFonts w:ascii="Arial" w:hAnsi="Arial" w:cs="Arial"/>
                <w:color w:val="000000"/>
              </w:rPr>
              <w:t xml:space="preserve"> em 13,8kV, e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</w:t>
            </w:r>
            <w:r w:rsidRPr="004E3B45">
              <w:rPr>
                <w:rFonts w:ascii="Arial" w:hAnsi="Arial" w:cs="Arial"/>
              </w:rPr>
              <w:t>de Entrada de Linha</w:t>
            </w:r>
            <w:r w:rsidRPr="004E3B45">
              <w:rPr>
                <w:rFonts w:ascii="Arial" w:hAnsi="Arial" w:cs="Arial"/>
                <w:color w:val="000000"/>
              </w:rPr>
              <w:t xml:space="preserve"> em 34,5kV.</w:t>
            </w:r>
          </w:p>
        </w:tc>
      </w:tr>
      <w:tr w:rsidR="0005715E" w:rsidRPr="004E3B45" w:rsidTr="00FA75F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FA75F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146C6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146C6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III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FA75F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Monte Alegre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FA75FF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ind w:right="77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Adequação da Ligação do Transformador 13,8/34,5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ao Barramento da Usina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Dieselelétrica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Monte Alegre e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em 13,8kV.</w:t>
            </w:r>
          </w:p>
        </w:tc>
      </w:tr>
      <w:tr w:rsidR="0005715E" w:rsidRPr="004E3B45" w:rsidTr="00FA75F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FA75F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146C6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146C6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IV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FA75F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Sistema São Geraldo do Araguaia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> 182/1998-ANEEL, de 28 de julho de 1998, e Termos Aditivos).</w:t>
            </w:r>
          </w:p>
        </w:tc>
      </w:tr>
      <w:tr w:rsidR="0005715E" w:rsidRPr="004E3B45" w:rsidTr="00FA75FF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a construção de uma Linha de Distribuição, em 34,5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, Xambioá - São Geraldo do Araguaia, com extensão de vinte e cinco quilômetros, uma Travessia do Rio Araguaia, em 138 kV, com extensão de dois quilômetros e seiscentos metros,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em 34,5kV na Subestação Xambioá,  quatro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em 34,5 kV, quatro Reguladores de Tensão  em 34,5 kV e dois Bancos de Capacitores de 34,5 kV/1,2 e 2,4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>, todos na Subestação São Geraldo.</w:t>
            </w:r>
          </w:p>
        </w:tc>
      </w:tr>
      <w:tr w:rsidR="0005715E" w:rsidRPr="004E3B45" w:rsidTr="00FA75F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FA75F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146C6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146C6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146C65" w:rsidRDefault="00146C65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V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FA75F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Abaetetuba (Sistema Igarapé-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Miri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>)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FA75FF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a construção de uma Linha de Distribuição, em 34,5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>, Abaetetuba - Igarapé-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Miri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>, com extensão de quarenta e cinco quilômetros, um Alimentador em 34,5 kV e um  Regulador de Tensão  200A/34,5kV.</w:t>
            </w:r>
          </w:p>
        </w:tc>
      </w:tr>
      <w:tr w:rsidR="0005715E" w:rsidRPr="004E3B45" w:rsidTr="00FA75F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FA75F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146C6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146C6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146C65" w:rsidRDefault="00146C6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proofErr w:type="gramStart"/>
      <w:r w:rsidRPr="004E3B45">
        <w:rPr>
          <w:rFonts w:ascii="Arial" w:hAnsi="Arial" w:cs="Arial"/>
          <w:b/>
          <w:color w:val="000000"/>
        </w:rPr>
        <w:lastRenderedPageBreak/>
        <w:t>ANEXO VI</w:t>
      </w:r>
      <w:proofErr w:type="gramEnd"/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FA75F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Parada do Bento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FA75FF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Comtempla a construção de uma Linha de Distribuição, em 34,5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, Parada do Bento - Nova Subestação Baião, com aproximadamente dezenove quilômetros de extensão, um Alimentador na Subestação Parada do Bento em 34,5 kV, uma Travessia de Rio em 138kV, de um quilômetro e oitocentos e setenta metros de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extensãoe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implantação de um Regulador de Tensão 200A/34,5kV.</w:t>
            </w:r>
          </w:p>
        </w:tc>
      </w:tr>
      <w:tr w:rsidR="0005715E" w:rsidRPr="004E3B45" w:rsidTr="00FA75F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FA75F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146C6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146C6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146C65" w:rsidRDefault="00146C6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VII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FA75F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 xml:space="preserve">Sistema Barcarena </w:t>
            </w:r>
            <w:proofErr w:type="gramStart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>69kV</w:t>
            </w:r>
            <w:proofErr w:type="gramEnd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 xml:space="preserve">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º</w:t>
            </w:r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 xml:space="preserve"> 182/1998-ANEEL, de 28 de julho de 1998, e Termos Aditivos).</w:t>
            </w:r>
          </w:p>
        </w:tc>
      </w:tr>
      <w:tr w:rsidR="0005715E" w:rsidRPr="004E3B45" w:rsidTr="00FA75FF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4E3B45">
              <w:rPr>
                <w:rFonts w:ascii="Arial" w:hAnsi="Arial" w:cs="Arial"/>
                <w:sz w:val="22"/>
                <w:szCs w:val="22"/>
              </w:rPr>
              <w:t xml:space="preserve">Contempla a implantação de uma Subestação em 69 </w:t>
            </w:r>
            <w:proofErr w:type="gramStart"/>
            <w:r w:rsidRPr="004E3B45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4E3B45">
              <w:rPr>
                <w:rFonts w:ascii="Arial" w:hAnsi="Arial" w:cs="Arial"/>
                <w:sz w:val="22"/>
                <w:szCs w:val="22"/>
              </w:rPr>
              <w:t xml:space="preserve"> em Barbacena, Município de Abaetetuba, alimentada através de Vila </w:t>
            </w:r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 xml:space="preserve">do Conde 69 kV: incluindo Linha Vila do Conde - Barbacena em 69 kV, com nove quilômetros de extensão; Módulo Geral de Ampliação 69 kV, Banco de Capacitor de 1,8 </w:t>
            </w:r>
            <w:proofErr w:type="spellStart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>MVAr</w:t>
            </w:r>
            <w:proofErr w:type="spellEnd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 xml:space="preserve"> e 13,8 kV, um </w:t>
            </w:r>
            <w:proofErr w:type="spellStart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Conexão de Banco de 13,8 kV, um </w:t>
            </w:r>
            <w:proofErr w:type="spellStart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Entrada de Linha, Sem Disjuntor, em 69 kV, Transformador 69/34,5 kV - 22 MVA (remanejado), um </w:t>
            </w:r>
            <w:proofErr w:type="spellStart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Conexão de Transformador 13,8 kV, quatro Regulador de Tensão (Padrão Distribuição) 13,8 kV, e três </w:t>
            </w:r>
            <w:proofErr w:type="spellStart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Entrada de Linha 13,8 kV, todos na Subestação Barcarena.</w:t>
            </w:r>
          </w:p>
        </w:tc>
      </w:tr>
      <w:tr w:rsidR="0005715E" w:rsidRPr="004E3B45" w:rsidTr="00FA75F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FA75F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146C6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146C6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46C65" w:rsidRDefault="00146C65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146C65" w:rsidRDefault="00146C6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VIII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FA75F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Sistema Ponto de Suprimento Miramar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> 182/1998-ANEEL, de 28 de julho de 1998, e Termos Aditivos).</w:t>
            </w:r>
          </w:p>
        </w:tc>
      </w:tr>
      <w:tr w:rsidR="0005715E" w:rsidRPr="004E3B45" w:rsidTr="00FA75FF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Comtempla um conjunto de obras de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subtransmissão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necessárias para manter o atendimento de parte da carga de Belém no momento da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desenergização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da Linha de Transmissão, em 230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, Utinga - Miramar, de propriedade da Centrais Elétricas do Norte do Brasil S.A. - Eletronorte, que hoje é operada pela CELPA em 69 kV, compreendendo: Linha Independência - Pedreira em 69 kV, com três quilômetros de extensão;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Recondutoramento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da Linha Guamá - Independência, em 69 kV, com três quilômetros e setecentos metros de extensão; Linha Augusto Montenegro -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Bengui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, em 69 kV, com dois quilômetros de extensão em Circuito Duplo; Linha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Bengui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- Miramar em 69 kV, com sete quilômetros e duzentos metros de extensão em Circuito Duplo; Linha Miramar -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Facepa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, em 69 kV, com dois quilômetros e duzentos metros de extensão; adequação de Barramento na Subestação Montenegro; Banco de Capacitor de 3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e 13,8 kV, quatro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Concessão de Banco de 13,8 kV, três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69 kV na Subestação Augusto Montenegro; dois Bancos de Capacitor de 3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e 13,8 kV e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Banco de 13,8 kV na Subestação Coqueiro; Interligação de Barras em 69 kV, três Bancos de Capacitor de 3 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e 13,8 kV e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Banco na Subestação Reduto;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69 kV na Subestação Independência; e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69 kV na Subestação Pedreira.</w:t>
            </w:r>
          </w:p>
        </w:tc>
      </w:tr>
      <w:tr w:rsidR="0005715E" w:rsidRPr="004E3B45" w:rsidTr="00FA75F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FA75F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146C6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146C6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IX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146C6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Sistema Vigia em 69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146C65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a implantação de uma Subestação em 69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em Vigia, compreendendo a Linha Terra Alta - Vigia, em 69 kV, com quarenta quilômetros de extensão;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Linha de 69 kV na Subestação Terra Alta; Transformador 69/13,8 kV de 15 MVA,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de 69 kV e de 13,8 kV, quatro Reguladores de Tensão de 13,8 kV,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69 kV, dois Bancos de Capacitor de 1,8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e 13,8 kV, e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Capacitor de 13,8 kV, todos na Subestação Vigia.</w:t>
            </w:r>
          </w:p>
        </w:tc>
      </w:tr>
      <w:tr w:rsidR="0005715E" w:rsidRPr="004E3B45" w:rsidTr="00146C6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146C6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146C6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146C6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70443D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70443D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70443D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70443D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8326B5" w:rsidRDefault="008326B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8326B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Sistema Capitão Poço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8326B5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23"/>
                <w:szCs w:val="23"/>
              </w:rPr>
            </w:pPr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 xml:space="preserve">Contempla a implantação de uma Subestação em 69 </w:t>
            </w:r>
            <w:proofErr w:type="gramStart"/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 xml:space="preserve"> em Capitão Poço, compreendendo a Linha Ourém - Capitão Poço em 69 kV, com trinta quilômetros de extensão; um </w:t>
            </w:r>
            <w:proofErr w:type="spellStart"/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 xml:space="preserve"> de Entrada de Linha de 69 kV na Subestação Ourém; um </w:t>
            </w:r>
            <w:proofErr w:type="spellStart"/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 xml:space="preserve"> de Entrada de Linha de 69 kV, dois </w:t>
            </w:r>
            <w:proofErr w:type="spellStart"/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 xml:space="preserve"> de Conexão de Transformador em 69 kV, um Transformador 69/34,5 kV e 6,3 MVA, um Transformador 69/13,4 kV e 9,4 MVA, </w:t>
            </w:r>
            <w:proofErr w:type="spellStart"/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 xml:space="preserve"> de Conexão de Transformador de 13,8 kV, um </w:t>
            </w:r>
            <w:proofErr w:type="spellStart"/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 xml:space="preserve"> de Conexão de Transformador de 34,5 kV, quatro Reguladores de Tensão de 34,5 kV, dois </w:t>
            </w:r>
            <w:proofErr w:type="spellStart"/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 xml:space="preserve"> de Entrada de Linha de 13,8 kV, dois </w:t>
            </w:r>
            <w:proofErr w:type="spellStart"/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  <w:sz w:val="23"/>
                <w:szCs w:val="23"/>
              </w:rPr>
              <w:t xml:space="preserve"> de Entrada de Linha de 34,5 kV, todos na Subestação Capitão Poço.</w:t>
            </w:r>
          </w:p>
        </w:tc>
      </w:tr>
      <w:tr w:rsidR="0005715E" w:rsidRPr="004E3B45" w:rsidTr="008326B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8326B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8326B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8326B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26B5" w:rsidRDefault="008326B5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8326B5" w:rsidRDefault="008326B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8326B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Sistema Parauapebas 138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8326B5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a construção de uma Linha de 138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Carajás (RB) - Parauapebas, bem como, a construção do Pátio de 138 kV associado na Subestação Parauapebas: incluindo Linha de 138 kV, com quinze quilômetros de extensão; Transformador 138/13,8 kV e 30 MVA, dois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de 13,8 kV e dois de 138 kV, quatro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13,8 kV e um de 138 kV, Módulo Geral de Ampliação 138 kV e Transformador de 34,5/13,8 kV e 7,6 MVA (remanejado), todos na Subestação Parauapebas.</w:t>
            </w:r>
          </w:p>
        </w:tc>
      </w:tr>
      <w:tr w:rsidR="0005715E" w:rsidRPr="004E3B45" w:rsidTr="008326B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8326B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8326B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8326B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26B5" w:rsidRDefault="008326B5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8326B5" w:rsidRDefault="008326B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XII</w:t>
      </w:r>
    </w:p>
    <w:p w:rsidR="0005715E" w:rsidRPr="008326B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8326B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8326B5" w:rsidRDefault="0005715E" w:rsidP="0005715E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8326B5" w:rsidRDefault="0005715E" w:rsidP="0005715E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8326B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8326B5" w:rsidRDefault="0005715E" w:rsidP="00146C65">
            <w:pPr>
              <w:jc w:val="both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>Sistema Canaã dos Carajás (Contrato de Concessão de Distribuição n</w:t>
            </w:r>
            <w:r w:rsidRPr="008326B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º</w:t>
            </w:r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 xml:space="preserve"> 182/1998-ANEEL, de 28 de julho de 1998, e Termos Aditivos).</w:t>
            </w:r>
          </w:p>
        </w:tc>
      </w:tr>
      <w:tr w:rsidR="0005715E" w:rsidRPr="004E3B45" w:rsidTr="008326B5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8326B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 xml:space="preserve">Contempla a construção de uma Linha de 138 </w:t>
            </w:r>
            <w:proofErr w:type="gramStart"/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 xml:space="preserve"> Parauapebas - Canaã dos Carajás, bem como a construção de uma nova Subestação de 138 kV em Canaã dos Carajás: incluindo Linha de 138 kV Parauapebas - Canaã dos Carajás, com cinquenta e quatro quilômetros de extensão; um </w:t>
            </w:r>
            <w:proofErr w:type="spellStart"/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>Bay</w:t>
            </w:r>
            <w:proofErr w:type="spellEnd"/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Entrada de Linha em 138 kV na Subestação Parauapebas; Transformador de 34,5/13,8 kV e 6,3 MVA, um  </w:t>
            </w:r>
            <w:proofErr w:type="spellStart"/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>Bay</w:t>
            </w:r>
            <w:proofErr w:type="spellEnd"/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Conexão de Transformador de 34,5 kV e um </w:t>
            </w:r>
            <w:proofErr w:type="spellStart"/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>Bay</w:t>
            </w:r>
            <w:proofErr w:type="spellEnd"/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Entrada de Linha de 13,8 kV, na Subestação Canaã dos Carajás provisória; um </w:t>
            </w:r>
            <w:proofErr w:type="spellStart"/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>Bay</w:t>
            </w:r>
            <w:proofErr w:type="spellEnd"/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Entrada de Linha de 138 kV, três de 13,8 kV e três de 34,5 kV; um </w:t>
            </w:r>
            <w:proofErr w:type="spellStart"/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>Bay</w:t>
            </w:r>
            <w:proofErr w:type="spellEnd"/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Conexão de Transformador em 138 kV, dois em 13,8 kV e um em 34,5 kV; Transformador de 138/13,8 kV e 30 MVA; Transformador de 13,8/34,5 kV e 12,5 MVA (remanejado); dois Bancos de Capacitor de 1,8 </w:t>
            </w:r>
            <w:proofErr w:type="spellStart"/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>MVAr</w:t>
            </w:r>
            <w:proofErr w:type="spellEnd"/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 xml:space="preserve"> e 13,8 kV; um </w:t>
            </w:r>
            <w:proofErr w:type="spellStart"/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>Bay</w:t>
            </w:r>
            <w:proofErr w:type="spellEnd"/>
            <w:r w:rsidRPr="008326B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Conexão de Transformador de 13,8 kV e Módulo Geral 138 kV, todos na Subestação Canaã dos Carajás.</w:t>
            </w:r>
          </w:p>
        </w:tc>
      </w:tr>
      <w:tr w:rsidR="0005715E" w:rsidRPr="004E3B45" w:rsidTr="008326B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8326B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8326B5" w:rsidRDefault="0005715E" w:rsidP="0005715E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8326B5" w:rsidRDefault="0005715E" w:rsidP="0005715E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8326B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8326B5" w:rsidRDefault="0005715E" w:rsidP="0005715E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8326B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160A2" w:rsidRDefault="009160A2">
      <w:pPr>
        <w:rPr>
          <w:rFonts w:ascii="Arial" w:hAnsi="Arial" w:cs="Arial"/>
          <w:b/>
          <w:color w:val="000000"/>
        </w:rPr>
      </w:pPr>
    </w:p>
    <w:p w:rsidR="009160A2" w:rsidRDefault="009160A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XIII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8326B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Sistema Carajás 138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8326B5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ind w:right="77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Comtempla a construção de uma Subestação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5 kV - 30 MVA em Carajás Distribuidora: incluindo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em 138 kV e dois em 34,5 kV, cinco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em 34,5 kV e um em 13,8 kV, Transformador de 34,5/13,8 kV e 9,4 MVA (remanejado) e Módulo Geral 138 kV, todos na Subestação Carajás;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138 kV, Transformador 138/34,5 kV e 30 MVA, Transformador provisório de 138/34,5 kV e 30 MVA (remanejado),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34,5 kV, todos na Subestação Carajás provisória.</w:t>
            </w:r>
          </w:p>
        </w:tc>
      </w:tr>
      <w:tr w:rsidR="0005715E" w:rsidRPr="004E3B45" w:rsidTr="008326B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8326B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8326B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8326B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8326B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26B5" w:rsidRDefault="008326B5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8326B5" w:rsidRDefault="008326B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XIV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666FB9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Subestação Campo Verde 138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> 182/1998 - ANEEL, de 28 de julho de 1998, e Termos Aditivos).</w:t>
            </w:r>
          </w:p>
        </w:tc>
      </w:tr>
      <w:tr w:rsidR="0005715E" w:rsidRPr="004E3B45" w:rsidTr="00666FB9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a implantação de nova Subestação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5 kV - 9,4 MVA: incluindo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138 kV, Transformador de 138/34,5 kV e 9,4 MVA,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de 34,5 kV, três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34,5 kV e Módulo Geral 138 kV, todos na Subestação Campo Verde.</w:t>
            </w:r>
          </w:p>
        </w:tc>
      </w:tr>
      <w:tr w:rsidR="0005715E" w:rsidRPr="004E3B45" w:rsidTr="00666FB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666FB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666FB9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666FB9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XV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666FB9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Subestação Bragança 69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666FB9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o aumento da capacidade instalada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5 kV da Subestação Bragança: incluindo Transformador de 69/34,5 kV e 20 MVA (remanejado),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69 kV, um de 13,8 kV e dois de 34,5 kV, todos na Subestação Bragança.</w:t>
            </w:r>
          </w:p>
        </w:tc>
      </w:tr>
      <w:tr w:rsidR="0005715E" w:rsidRPr="004E3B45" w:rsidTr="00666FB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666FB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666FB9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666FB9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XVI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666FB9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Subestação Mãe do Rio 138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> 182/1998-ANEEL, de 28 de julho de 1998, e Termos Aditivos).</w:t>
            </w:r>
          </w:p>
        </w:tc>
      </w:tr>
      <w:tr w:rsidR="0005715E" w:rsidRPr="004E3B45" w:rsidTr="00666FB9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o aumento da capacidade instalada da Subestação Mãe do Rio: incluindo Transformador de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8 kV e 12,5/ MVA,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de 138 kV e um de 13,8 kV  e Módulo Geral de Ampliação 138 kV, todos na Subestação Mãe do Rio.</w:t>
            </w:r>
          </w:p>
        </w:tc>
      </w:tr>
      <w:tr w:rsidR="0005715E" w:rsidRPr="004E3B45" w:rsidTr="00666FB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666FB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666FB9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666FB9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666FB9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XVII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DC2C32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Subestação São Miguel do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Gamá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> 182/1998-ANEEL, de 28 de julho de 1998, e Termos Aditivos).</w:t>
            </w:r>
          </w:p>
        </w:tc>
      </w:tr>
      <w:tr w:rsidR="0005715E" w:rsidRPr="004E3B45" w:rsidTr="00DC2C32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o aumento da capacidade instalada da Subestação São Miguel do Guamá: incluindo Transformador de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8 kV e 12,5/15 MVA (remanejado),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de 138 kV e um de 13,8 kV, Módulo Geral de Ampliação 138 kV, todos na Subestação São Miguel do Guamá.</w:t>
            </w:r>
          </w:p>
        </w:tc>
      </w:tr>
      <w:tr w:rsidR="0005715E" w:rsidRPr="004E3B45" w:rsidTr="00DC2C3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DC2C3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DC2C32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DC2C32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XVIII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DC2C32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Moju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DC2C32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o aumento da capacidade instalada da Subestação Moju: incluindo Transformador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5 kV e 7,5/9,4 MVA,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de 138 kV e um de 34,5 kV, Módulo Geral de Ampliação 138 kV, e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34,5 kV, todos na Subestação Moju.</w:t>
            </w:r>
          </w:p>
        </w:tc>
      </w:tr>
      <w:tr w:rsidR="0005715E" w:rsidRPr="004E3B45" w:rsidTr="00DC2C3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DC2C3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DC2C32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DC2C32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XIX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DC2C32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Tailândia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DC2C32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Aumento da capacidade instalada da Subestação Tailândia: incluindo Transformador de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5 kV e 7,5/9,4 MVA,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de 138 kV e Módulo Geral de Ampliação 138 kV.</w:t>
            </w:r>
          </w:p>
        </w:tc>
      </w:tr>
      <w:tr w:rsidR="0005715E" w:rsidRPr="004E3B45" w:rsidTr="00DC2C3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DC2C3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DC2C32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DC2C32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C2C32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E5D6A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Subestação Abaetetuba 69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CE5D6A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a instalação de Banco de Capacitores no Barramento de 13,8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da Subestação e novos Alimentadores: incluindo Banco de Capacitor de 3,6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(remanejado),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Capacitor,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34,5 kV e dois de 13,8 kV, Transformador de 69/34,5 kV e 20 MVA (remanejado), Transformador de 69/13,8 kV e 7,5/9,4 MVA (remanejado),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de 69 kV e 2 de 13,8 kV, Módulo Geral de Ampliação 69 kV.</w:t>
            </w:r>
          </w:p>
        </w:tc>
      </w:tr>
      <w:tr w:rsidR="0005715E" w:rsidRPr="004E3B45" w:rsidTr="00CE5D6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CE5D6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E5D6A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E5D6A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E5D6A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Goianésia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CE5D6A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Aumento da capacidade instalada da Subestação Goianésia: incluindo Transformador de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>8 kV e 12,5/15 MVA (remanejado), quatro Reguladores de Tensão de 13,8 kV, e Módulo Geral de Ampliação 69 kV.</w:t>
            </w:r>
          </w:p>
        </w:tc>
      </w:tr>
      <w:tr w:rsidR="0005715E" w:rsidRPr="004E3B45" w:rsidTr="00CE5D6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CE5D6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E5D6A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E5D6A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XXII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E5D6A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Conceição do Araguaia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CE5D6A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Aumento da capacidade instalada da Subestação e instalação de Banco de Capacitores no Barramento de 13,8 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da Subestação: incluindo Transformador de 69/13,8 kV e 7,5/9,4 MVA (remanejado),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de 69 kV e um de 13,8 kV, Módulo Geral de Ampliação 69 kV, Banco de Capacitor de 1,8 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e 13,8 kV, e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Capacitor de 13,8 kV.</w:t>
            </w:r>
          </w:p>
        </w:tc>
      </w:tr>
      <w:tr w:rsidR="0005715E" w:rsidRPr="004E3B45" w:rsidTr="00CE5D6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CE5D6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E5D6A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E5D6A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XXIII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E5D6A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Redenção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CE5D6A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Aumento da capacidade instalada da Subestação Redenção: incluindo Transformador de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8 kV e 30 MVA (Almoxarifado),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de 138 kV e um de 13,8 kV, e Módulo Geral de Ampliação 138 kV.</w:t>
            </w:r>
          </w:p>
        </w:tc>
      </w:tr>
      <w:tr w:rsidR="0005715E" w:rsidRPr="004E3B45" w:rsidTr="00CE5D6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CE5D6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E5D6A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E5D6A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XXIV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E5D6A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Rio Maria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CE5D6A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Aumento da capacidade instalada da Subestação Rio Maria: incluindo Transformador de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8 kV e 30 MVA,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34,5 kV, e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de 13,8 kV.</w:t>
            </w:r>
          </w:p>
        </w:tc>
      </w:tr>
      <w:tr w:rsidR="0005715E" w:rsidRPr="004E3B45" w:rsidTr="00CE5D6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CE5D6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E5D6A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E5D6A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XXV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E5D6A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Santa Maria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CE5D6A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Aumento da capacidade instalada da Subestação Santa Maria: incluindo Transformador de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8 kV e 9,4 MVA (remanejado), e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13,8 kV.</w:t>
            </w:r>
          </w:p>
        </w:tc>
      </w:tr>
      <w:tr w:rsidR="0005715E" w:rsidRPr="004E3B45" w:rsidTr="00CE5D6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CE5D6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E5D6A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E5D6A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XXVI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E5D6A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Miramar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CE5D6A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Aumento da capacidade instalada da Subestação Miramar: incluindo Transformador de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8 kV e 30 MVA (Almoxarifado), e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13,8 kV.</w:t>
            </w:r>
          </w:p>
        </w:tc>
      </w:tr>
      <w:tr w:rsidR="0005715E" w:rsidRPr="004E3B45" w:rsidTr="00CE5D6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CE5D6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E5D6A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E5D6A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E5D6A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XXVII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DA47B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Tapajós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DA47BF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Aumento da capacidade instalada da Subestação Tapajós: incluindo Transformador de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>8 kV e 30 MVA, e Módulo Geral de Ampliação 138 kV.</w:t>
            </w:r>
          </w:p>
        </w:tc>
      </w:tr>
      <w:tr w:rsidR="0005715E" w:rsidRPr="004E3B45" w:rsidTr="00DA47B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DA47B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DA47BF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DA47BF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XXVIII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DA47B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Santarém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DA47BF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Aumento da capacidade instalada da Subestação Santarém: incluindo Transformador de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>8 kV e 30 MVA (Almoxarifado), e Módulo Geral de Ampliação 138 kV.</w:t>
            </w:r>
          </w:p>
        </w:tc>
      </w:tr>
      <w:tr w:rsidR="0005715E" w:rsidRPr="004E3B45" w:rsidTr="00DA47B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DA47B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DA47BF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DA47BF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XXIX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DA47B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Vila Concórdia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DA47BF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Aumento da capacidade instalada da Subestação Vila Concórdia: incluindo Transformador de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>8 kV e 9,4 MVA (remanejado), e Módulo Geral de Ampliação 69 kV.</w:t>
            </w:r>
          </w:p>
        </w:tc>
      </w:tr>
      <w:tr w:rsidR="0005715E" w:rsidRPr="004E3B45" w:rsidTr="00DA47B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DA47B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DA47BF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DA47BF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XXX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DA47B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Morada Nova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DA47BF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Aumento da capacidade instalada da Subestação Morada Nova: incluindo Transformador de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>8 kV e 12,5/15 MVA (remanejado), e Módulo Geral de Ampliação 69 kV.</w:t>
            </w:r>
          </w:p>
        </w:tc>
      </w:tr>
      <w:tr w:rsidR="0005715E" w:rsidRPr="004E3B45" w:rsidTr="00DA47B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DA47B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DA47BF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DA47BF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A47BF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XXXI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DF0A3D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Eldorado dos Carajás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> 182/1998 - ANEEL, de 28 de julho de 1998, e Termos Aditivos).</w:t>
            </w:r>
          </w:p>
        </w:tc>
      </w:tr>
      <w:tr w:rsidR="0005715E" w:rsidRPr="004E3B45" w:rsidTr="00DF0A3D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Aumento da capacidade instalada da Subestação Eldorado dos Carajás: incluindo Transformador de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5 kV e 25/30 MVA (remanejado), Módulo Geral de Ampliação 138 kV, e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34,5 kV.</w:t>
            </w:r>
          </w:p>
        </w:tc>
      </w:tr>
      <w:tr w:rsidR="0005715E" w:rsidRPr="004E3B45" w:rsidTr="00DF0A3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DF0A3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DF0A3D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F0A3D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F0A3D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F0A3D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DF0A3D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F0A3D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F0A3D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F0A3D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XXXII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DF0A3D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Sistema Santarém Pátio 13,8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> 182/1998 - ANEEL, de 28 de julho de 1998, e Termos Aditivos).</w:t>
            </w:r>
          </w:p>
        </w:tc>
      </w:tr>
      <w:tr w:rsidR="0005715E" w:rsidRPr="004E3B45" w:rsidTr="00DF0A3D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a instalação de Novo Pátio de 13,8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Aéreo na Subestação Santarém: incluindo oito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13,8 kV, dois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de 13,8 kV, dois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Capacitor de 13,8 kV,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13,8 kV,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Interligação de Barra de 13,8 kV, quatro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13,8 kV, todos na Subestação Santarém.</w:t>
            </w:r>
          </w:p>
        </w:tc>
      </w:tr>
      <w:tr w:rsidR="0005715E" w:rsidRPr="004E3B45" w:rsidTr="00DF0A3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DF0A3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DF0A3D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F0A3D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F0A3D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F0A3D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DF0A3D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F0A3D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F0A3D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DF0A3D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XXXIII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75E9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Sistema Água Azul do Norte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>5 kV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 xml:space="preserve">Contempla a implantação de uma Subestação em 138 </w:t>
            </w:r>
            <w:proofErr w:type="gramStart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 xml:space="preserve"> na Região de Água Azul do Norte, alimentada por meio de derivação na Linha de 138 kV </w:t>
            </w:r>
            <w:proofErr w:type="spellStart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>Xiguara</w:t>
            </w:r>
            <w:proofErr w:type="spellEnd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 xml:space="preserve"> - Tucumã, com a instalação de um Transformador de 138/34,5 e 20/25 MVA: incluindo derivação da Linha Xinguara-Tucumã até Água Azul do Norte em 138 kV, com quatrocentos metros de extensão, Transformador de 138/34,5 kV e 20 MVA (remanejado), dois </w:t>
            </w:r>
            <w:proofErr w:type="spellStart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Entrada de Linha de 34,5 kV (remanejados), um </w:t>
            </w:r>
            <w:proofErr w:type="spellStart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Entrada de Linha de 138 kV (remanejado), um </w:t>
            </w:r>
            <w:proofErr w:type="spellStart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Conexão de Transformador de 138 kV (remanejado), e Módulo Geral 138 kV, todos na Subestação Água Azul do Norte.</w:t>
            </w:r>
          </w:p>
        </w:tc>
      </w:tr>
      <w:tr w:rsidR="0005715E" w:rsidRPr="004E3B45" w:rsidTr="00C75E9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C75E9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75E9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75E9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XXXIV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75E9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Subestação Dom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Eliseo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Corolle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> 182/1998-ANEEL, de 28 de julho de 1998, e Termos Aditivos).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a instalação de Banco de Capacitores de 69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na Subestação Dom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Eliseo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Corolle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>: incluindo dois Bancos de Capacitor de 5 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e 69 kV e dois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Capacitor de 69 kV.</w:t>
            </w:r>
          </w:p>
        </w:tc>
      </w:tr>
      <w:tr w:rsidR="0005715E" w:rsidRPr="004E3B45" w:rsidTr="00C75E9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C75E9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75E9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75E9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XXXV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75E9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Ourém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a instalação de Banco de Capacitores de 69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na Subestação Ourém: incluindo dois Bancos de Capacitores de 5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e 69 kV e dois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Capacitor de 69 kV.</w:t>
            </w:r>
          </w:p>
        </w:tc>
      </w:tr>
      <w:tr w:rsidR="0005715E" w:rsidRPr="004E3B45" w:rsidTr="00C75E9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C75E9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75E9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75E9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XXXVI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75E9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Curuçá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a instalação de Banco de Capacitores de 13,8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na Subestação Curuçá: incluindo um Banco de Capacitor de 1,8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e 13,8 kV e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Capacitor de 13,8 kV.</w:t>
            </w:r>
          </w:p>
        </w:tc>
      </w:tr>
      <w:tr w:rsidR="0005715E" w:rsidRPr="004E3B45" w:rsidTr="00C75E9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C75E9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75E9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75E9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XXXVII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75E9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Subestação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Bengui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a adequação do Sistema da Distribuidora necessária ao atendimento ao consumidor Parque Shopping, com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em 69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5715E" w:rsidRPr="004E3B45" w:rsidTr="00C75E9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C75E9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75E9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75E9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XXXVIII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75E9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>Subestação Terra Alta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a instalação de Banco de Capacitores e aumento da capacidade da Subestação Terra Alta: incluindo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Capacitor de 13,8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, um Banco de Capacitor de 1,8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e 13,8 kV, dois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Capacitor de 34,5 kV, três Bancos de Capacitor de 1,8 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e 34,5 kV e dois Transformadores de 69/34,5 kV e 30 MVA (sendo um novo para reserva e um remanejado).</w:t>
            </w:r>
          </w:p>
        </w:tc>
      </w:tr>
      <w:tr w:rsidR="0005715E" w:rsidRPr="004E3B45" w:rsidTr="00C75E9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C75E9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75E9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75E9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XXXIX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75E9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Sistema Entorno de Belo Monte 69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> 182/1998-ANEEL, de 28 de julho de 1998, e Termos Aditivos).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vMerge w:val="restart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a implantação de um Sistema em 69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em torno do Lago da Usina de Belo Monte, com as seguintes obras: 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vMerge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  <w:color w:val="000000"/>
              </w:rPr>
              <w:t>I - Linha Altamira (Rede Básica) - Vila Santo Antônio 69 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>, com sessenta quilômetros de extensão;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vMerge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II - Linha Altamira - Brasil Novo - Medicilândia 69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>, com noventa e três quilômetros de extensão;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vMerge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III - Linha Altamira - Vitória do Xingu 34,5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>, com trinta e cinco quilômetros de extensão;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vMerge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IV - Subestação Vila Santo Antônio 69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, contendo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69 kV para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Anapú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e três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34,5 kV; 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vMerge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  <w:color w:val="000000"/>
              </w:rPr>
              <w:t>V - Subestação Altamira 69 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, contendo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69 kV, três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13,8 kV, três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34,5 kV e Módulo Geral de Ampliação 69 kV;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vMerge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VI - Subestação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Anapú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69 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, contendo um Transformador 69/34,5 kV e 5/6,3 MVA e dois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Linha 34,5 kV;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vMerge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VII - Subestação Brasil Novo, contendo dois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69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(sem Disjuntor),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69 kV,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69 kV (sem Disjuntor), um Transformador de 69/34,5 e 6,3 MVA (remanejado), quatro Reguladores de Tensão de 34,5 kV,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34,5 kV, três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34,5 kV e um Módulo Geral 69 kV;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vMerge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VIII - Subestação Medicilândia contendo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69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(sem Disjuntor), um Transformador de 69/34,5 e 6,3 MVA (remanejado), quatro Reguladores de Tensão de 34,5,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de 34,5 kV, três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34,5 kV e um Módulo Geral 69 kV; e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IX - Subestação Uruará contendo quatro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34,5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e um Módulo Geral 34,5 kV.</w:t>
            </w:r>
          </w:p>
        </w:tc>
      </w:tr>
      <w:tr w:rsidR="0005715E" w:rsidRPr="004E3B45" w:rsidTr="00C75E9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C75E9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75E9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75E9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XL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75E9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Sistema Calha Norte - Etapa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 xml:space="preserve"> 182/1998-ANEEL, de 28 de julho de 1998, e Termos Aditivos).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a Primeira Etapa de Interligação das Localidades da Margem Esquerda do Rio Amazonas - Calha Norte ao Sistema Interligado Nacional: incluindo Linha Oriximiná (Rede Básica) - Oriximiná CELPA, de 138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, com vinte e nove quilômetros e trezentos metros de extensão, Subestação contendo um Módulo Geral 138 kV,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138 kV (sem Disjuntor),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138 kV, um Transformador 138/13,8 kV e 12,8/15 MVA, um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Conexão de Transformador de 13,8 kV e três </w:t>
            </w:r>
            <w:proofErr w:type="spellStart"/>
            <w:r w:rsidRPr="004E3B45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4E3B45">
              <w:rPr>
                <w:rFonts w:ascii="Arial" w:hAnsi="Arial" w:cs="Arial"/>
                <w:color w:val="000000"/>
              </w:rPr>
              <w:t xml:space="preserve"> de Entrada de Linha de 13,8 kV.</w:t>
            </w:r>
          </w:p>
        </w:tc>
      </w:tr>
      <w:tr w:rsidR="0005715E" w:rsidRPr="004E3B45" w:rsidTr="00C75E9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C75E9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75E9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75E9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XLI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Centrais Elétricas do Pará S.A. - CELPA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  <w:color w:val="000000"/>
              </w:rPr>
              <w:t>04.895.728/0001-80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Rodovia Augusto Montenegro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proofErr w:type="gramStart"/>
            <w:r w:rsidRPr="004E3B45">
              <w:rPr>
                <w:rFonts w:ascii="Arial" w:hAnsi="Arial" w:cs="Arial"/>
              </w:rPr>
              <w:t>s</w:t>
            </w:r>
            <w:proofErr w:type="gramEnd"/>
            <w:r w:rsidRPr="004E3B45">
              <w:rPr>
                <w:rFonts w:ascii="Arial" w:hAnsi="Arial" w:cs="Arial"/>
              </w:rPr>
              <w:t>/n</w:t>
            </w:r>
            <w:r w:rsidRPr="004E3B45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Km 8,5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Coqueiro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66823-010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Belém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Pará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75E9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Sistema Ilha do Marajó - Etapa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(Contrato de Concessão de Distribuição n</w:t>
            </w:r>
            <w:r w:rsidRPr="004E3B45">
              <w:rPr>
                <w:rFonts w:ascii="Arial" w:hAnsi="Arial" w:cs="Arial"/>
                <w:strike/>
                <w:color w:val="000000"/>
              </w:rPr>
              <w:t>º</w:t>
            </w:r>
            <w:r w:rsidRPr="004E3B45">
              <w:rPr>
                <w:rFonts w:ascii="Arial" w:hAnsi="Arial" w:cs="Arial"/>
                <w:color w:val="000000"/>
              </w:rPr>
              <w:t> 182/1998 - ANEEL, de 28 de julho de 1998, e Termos Aditivos).</w:t>
            </w: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Contempla a Travessia Subaquática para Atendimento à Ilha do Marajó - Etapa </w:t>
            </w:r>
            <w:proofErr w:type="gramStart"/>
            <w:r w:rsidRPr="004E3B45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E3B45">
              <w:rPr>
                <w:rFonts w:ascii="Arial" w:hAnsi="Arial" w:cs="Arial"/>
                <w:color w:val="000000"/>
              </w:rPr>
              <w:t xml:space="preserve"> via Subestação Vila do Conde: incluindo Linha Subaquática de Vila do Conde - Ponta das Pedras, em 34,5 kV, com dezessete quilômetros de extensão.</w:t>
            </w:r>
          </w:p>
        </w:tc>
      </w:tr>
      <w:tr w:rsidR="0005715E" w:rsidRPr="004E3B45" w:rsidTr="00C75E9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  <w:tr w:rsidR="0005715E" w:rsidRPr="004E3B45" w:rsidTr="00C75E9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Nome: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CPF: (não informado).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Correio Eletrônico: (não informado).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Telefone: (não informado).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75E9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(não informado).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75E9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E3B45">
              <w:rPr>
                <w:rFonts w:ascii="Arial" w:hAnsi="Arial" w:cs="Arial"/>
                <w:b/>
              </w:rPr>
              <w:t>(não informado)</w:t>
            </w:r>
            <w:r w:rsidRPr="004E3B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spacing w:after="200" w:line="276" w:lineRule="auto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br w:type="page"/>
      </w:r>
    </w:p>
    <w:p w:rsidR="0005715E" w:rsidRPr="004E3B45" w:rsidRDefault="0005715E" w:rsidP="0005715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E3B45">
        <w:rPr>
          <w:rFonts w:ascii="Arial" w:hAnsi="Arial" w:cs="Arial"/>
          <w:b/>
          <w:color w:val="000000"/>
        </w:rPr>
        <w:lastRenderedPageBreak/>
        <w:t>ANEXO XLII</w:t>
      </w:r>
    </w:p>
    <w:p w:rsidR="0005715E" w:rsidRPr="004E3B45" w:rsidRDefault="0005715E" w:rsidP="0005715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5715E" w:rsidRPr="004E3B45" w:rsidTr="00146C6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5E" w:rsidRPr="004E3B45" w:rsidRDefault="0005715E" w:rsidP="00146C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E3B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5715E" w:rsidRPr="004E3B45" w:rsidRDefault="0005715E" w:rsidP="0005715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5715E" w:rsidRPr="004E3B45" w:rsidTr="00146C65">
        <w:tc>
          <w:tcPr>
            <w:tcW w:w="10348" w:type="dxa"/>
            <w:vAlign w:val="center"/>
          </w:tcPr>
          <w:p w:rsidR="0005715E" w:rsidRPr="004E3B45" w:rsidRDefault="0005715E" w:rsidP="00146C6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5715E" w:rsidRPr="004E3B45" w:rsidRDefault="0005715E" w:rsidP="0005715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422"/>
        <w:gridCol w:w="2414"/>
        <w:gridCol w:w="421"/>
        <w:gridCol w:w="2693"/>
      </w:tblGrid>
      <w:tr w:rsidR="0005715E" w:rsidRPr="004E3B45" w:rsidTr="00146C6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5715E" w:rsidRPr="004E3B45" w:rsidTr="00146C65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CNPJ      </w:t>
            </w:r>
          </w:p>
        </w:tc>
      </w:tr>
      <w:tr w:rsidR="0005715E" w:rsidRPr="004E3B45" w:rsidTr="00146C6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Número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  <w:u w:val="single"/>
                <w:vertAlign w:val="superscript"/>
              </w:rPr>
            </w:pP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Bairro/Distrito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CEP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tabs>
                <w:tab w:val="left" w:pos="81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Município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UF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Telefone</w:t>
            </w:r>
          </w:p>
        </w:tc>
      </w:tr>
      <w:tr w:rsidR="0005715E" w:rsidRPr="004E3B45" w:rsidTr="00146C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15E" w:rsidRPr="004E3B45" w:rsidRDefault="0005715E" w:rsidP="00146C6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5"/>
              <w:jc w:val="both"/>
              <w:rPr>
                <w:rFonts w:ascii="Arial" w:hAnsi="Arial" w:cs="Arial"/>
              </w:rPr>
            </w:pPr>
          </w:p>
        </w:tc>
      </w:tr>
    </w:tbl>
    <w:p w:rsidR="0005715E" w:rsidRPr="004E3B45" w:rsidRDefault="0005715E" w:rsidP="0005715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5715E" w:rsidRPr="004E3B45" w:rsidTr="00146C65">
        <w:tc>
          <w:tcPr>
            <w:tcW w:w="432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DADOS DO PROJETO</w:t>
            </w:r>
          </w:p>
        </w:tc>
      </w:tr>
      <w:tr w:rsidR="0005715E" w:rsidRPr="004E3B45" w:rsidTr="00C75E9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b/>
                <w:strike/>
              </w:rPr>
            </w:pPr>
          </w:p>
        </w:tc>
      </w:tr>
      <w:tr w:rsidR="0005715E" w:rsidRPr="004E3B45" w:rsidTr="00C75E95">
        <w:trPr>
          <w:trHeight w:val="10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5715E" w:rsidRPr="004E3B45" w:rsidRDefault="0005715E" w:rsidP="00146C65">
            <w:pPr>
              <w:autoSpaceDE w:val="0"/>
              <w:autoSpaceDN w:val="0"/>
              <w:adjustRightInd w:val="0"/>
              <w:ind w:right="77"/>
              <w:jc w:val="both"/>
              <w:rPr>
                <w:rFonts w:ascii="Arial" w:hAnsi="Arial" w:cs="Arial"/>
                <w:strike/>
              </w:rPr>
            </w:pPr>
          </w:p>
        </w:tc>
      </w:tr>
      <w:tr w:rsidR="0005715E" w:rsidRPr="004E3B45" w:rsidTr="00C75E9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</w:p>
        </w:tc>
      </w:tr>
      <w:tr w:rsidR="0005715E" w:rsidRPr="004E3B45" w:rsidTr="00C75E9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Localidade do Projeto [Município(s</w:t>
            </w:r>
            <w:proofErr w:type="gramStart"/>
            <w:r w:rsidRPr="004E3B45">
              <w:rPr>
                <w:rFonts w:ascii="Arial" w:hAnsi="Arial" w:cs="Arial"/>
              </w:rPr>
              <w:t>)</w:t>
            </w:r>
            <w:proofErr w:type="gramEnd"/>
            <w:r w:rsidRPr="004E3B45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  <w:strike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353"/>
      </w:tblGrid>
      <w:tr w:rsidR="0005715E" w:rsidRPr="004E3B45" w:rsidTr="00146C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E3B45">
              <w:rPr>
                <w:rFonts w:ascii="Arial" w:hAnsi="Arial" w:cs="Arial"/>
                <w:bCs/>
              </w:rPr>
              <w:t>JURÍDICA</w:t>
            </w:r>
            <w:proofErr w:type="gramEnd"/>
            <w:r w:rsidRPr="004E3B4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Nome: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CPF: </w:t>
            </w:r>
          </w:p>
        </w:tc>
      </w:tr>
      <w:tr w:rsidR="0005715E" w:rsidRPr="004E3B45" w:rsidTr="00146C65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Correio Eletrônico: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Telefone: 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Nome: 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CPF: </w:t>
            </w:r>
          </w:p>
        </w:tc>
      </w:tr>
      <w:tr w:rsidR="0005715E" w:rsidRPr="004E3B45" w:rsidTr="00146C65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Correio Eletrônico: 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Telefone: 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Nome: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CPF: </w:t>
            </w:r>
          </w:p>
        </w:tc>
      </w:tr>
      <w:tr w:rsidR="0005715E" w:rsidRPr="004E3B45" w:rsidTr="00146C65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Correio Eletrônico: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jc w:val="both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 xml:space="preserve">Telefone: </w:t>
            </w: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5715E" w:rsidRPr="004E3B45" w:rsidTr="00C75E9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125"/>
        <w:gridCol w:w="6804"/>
      </w:tblGrid>
      <w:tr w:rsidR="0005715E" w:rsidRPr="004E3B45" w:rsidTr="00146C6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E" w:rsidRPr="004E3B45" w:rsidRDefault="0005715E" w:rsidP="00146C65">
            <w:pPr>
              <w:ind w:left="-70"/>
              <w:jc w:val="center"/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ESTIMATIVAS DOS VALORES DOS BENS E SERVIÇOS</w:t>
            </w:r>
          </w:p>
          <w:p w:rsidR="0005715E" w:rsidRPr="004E3B45" w:rsidRDefault="0005715E" w:rsidP="00146C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3B4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5715E" w:rsidRPr="004E3B45" w:rsidTr="00C75E9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Bens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Serviços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</w:rPr>
            </w:pPr>
            <w:r w:rsidRPr="004E3B45">
              <w:rPr>
                <w:rFonts w:ascii="Arial" w:hAnsi="Arial" w:cs="Arial"/>
              </w:rPr>
              <w:t>Outros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5715E" w:rsidRPr="004E3B45" w:rsidTr="00C75E9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rPr>
                <w:rFonts w:ascii="Arial" w:hAnsi="Arial" w:cs="Arial"/>
                <w:b/>
              </w:rPr>
            </w:pPr>
            <w:r w:rsidRPr="004E3B4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5E" w:rsidRPr="004E3B45" w:rsidRDefault="0005715E" w:rsidP="00146C6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715E" w:rsidRPr="004E3B45" w:rsidRDefault="0005715E" w:rsidP="0005715E">
      <w:pPr>
        <w:ind w:left="720"/>
        <w:rPr>
          <w:rFonts w:ascii="Arial" w:hAnsi="Arial" w:cs="Arial"/>
          <w:color w:val="000000"/>
        </w:rPr>
      </w:pPr>
    </w:p>
    <w:p w:rsidR="0005715E" w:rsidRPr="004E3B45" w:rsidRDefault="0005715E" w:rsidP="0005715E">
      <w:pPr>
        <w:autoSpaceDE w:val="0"/>
        <w:autoSpaceDN w:val="0"/>
        <w:adjustRightInd w:val="0"/>
        <w:ind w:left="-142"/>
        <w:rPr>
          <w:rFonts w:ascii="Arial" w:hAnsi="Arial" w:cs="Arial"/>
          <w:color w:val="000000"/>
        </w:rPr>
      </w:pPr>
      <w:r w:rsidRPr="004E3B45">
        <w:rPr>
          <w:rFonts w:ascii="Arial" w:hAnsi="Arial" w:cs="Arial"/>
          <w:color w:val="000000"/>
        </w:rPr>
        <w:t xml:space="preserve">(Local), (data) </w:t>
      </w:r>
    </w:p>
    <w:p w:rsidR="0005715E" w:rsidRPr="004E3B45" w:rsidRDefault="0005715E" w:rsidP="000571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</w:p>
    <w:tbl>
      <w:tblPr>
        <w:tblW w:w="94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86"/>
        <w:gridCol w:w="3286"/>
        <w:gridCol w:w="3286"/>
      </w:tblGrid>
      <w:tr w:rsidR="0005715E" w:rsidRPr="004E3B45" w:rsidTr="00146C65">
        <w:tc>
          <w:tcPr>
            <w:tcW w:w="3165" w:type="dxa"/>
            <w:shd w:val="clear" w:color="auto" w:fill="auto"/>
          </w:tcPr>
          <w:p w:rsidR="0005715E" w:rsidRPr="004E3B45" w:rsidRDefault="0005715E" w:rsidP="00146C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  <w:color w:val="000000"/>
              </w:rPr>
              <w:t>_______________________</w:t>
            </w:r>
          </w:p>
        </w:tc>
        <w:tc>
          <w:tcPr>
            <w:tcW w:w="3165" w:type="dxa"/>
            <w:shd w:val="clear" w:color="auto" w:fill="auto"/>
          </w:tcPr>
          <w:p w:rsidR="0005715E" w:rsidRPr="004E3B45" w:rsidRDefault="0005715E" w:rsidP="00146C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  <w:color w:val="000000"/>
              </w:rPr>
              <w:t>_______________________</w:t>
            </w:r>
          </w:p>
        </w:tc>
        <w:tc>
          <w:tcPr>
            <w:tcW w:w="3165" w:type="dxa"/>
            <w:shd w:val="clear" w:color="auto" w:fill="auto"/>
          </w:tcPr>
          <w:p w:rsidR="0005715E" w:rsidRPr="004E3B45" w:rsidRDefault="0005715E" w:rsidP="00146C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  <w:color w:val="000000"/>
              </w:rPr>
              <w:t>_______________________</w:t>
            </w:r>
          </w:p>
        </w:tc>
      </w:tr>
      <w:tr w:rsidR="0005715E" w:rsidRPr="004E3B45" w:rsidTr="00146C65">
        <w:trPr>
          <w:trHeight w:val="100"/>
        </w:trPr>
        <w:tc>
          <w:tcPr>
            <w:tcW w:w="3165" w:type="dxa"/>
            <w:shd w:val="clear" w:color="auto" w:fill="auto"/>
          </w:tcPr>
          <w:p w:rsidR="0005715E" w:rsidRPr="004E3B45" w:rsidRDefault="0005715E" w:rsidP="00146C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 (Presidente)</w:t>
            </w:r>
          </w:p>
        </w:tc>
        <w:tc>
          <w:tcPr>
            <w:tcW w:w="3165" w:type="dxa"/>
            <w:shd w:val="clear" w:color="auto" w:fill="auto"/>
          </w:tcPr>
          <w:p w:rsidR="0005715E" w:rsidRPr="004E3B45" w:rsidRDefault="0005715E" w:rsidP="00146C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 (Responsável Técnico)</w:t>
            </w:r>
          </w:p>
        </w:tc>
        <w:tc>
          <w:tcPr>
            <w:tcW w:w="3165" w:type="dxa"/>
            <w:shd w:val="clear" w:color="auto" w:fill="auto"/>
          </w:tcPr>
          <w:p w:rsidR="0005715E" w:rsidRPr="004E3B45" w:rsidRDefault="0005715E" w:rsidP="00146C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E3B45">
              <w:rPr>
                <w:rFonts w:ascii="Arial" w:hAnsi="Arial" w:cs="Arial"/>
                <w:color w:val="000000"/>
              </w:rPr>
              <w:t xml:space="preserve"> (Contador)</w:t>
            </w:r>
          </w:p>
        </w:tc>
      </w:tr>
    </w:tbl>
    <w:p w:rsidR="0005715E" w:rsidRPr="004E3B45" w:rsidRDefault="0005715E" w:rsidP="000571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</w:p>
    <w:p w:rsidR="009170FA" w:rsidRPr="009170FA" w:rsidRDefault="009170FA" w:rsidP="0005715E">
      <w:pPr>
        <w:rPr>
          <w:rFonts w:ascii="Arial" w:hAnsi="Arial" w:cs="Arial"/>
          <w:b/>
          <w:bCs/>
          <w:sz w:val="6"/>
          <w:szCs w:val="6"/>
        </w:rPr>
      </w:pPr>
    </w:p>
    <w:sectPr w:rsidR="009170FA" w:rsidRPr="009170FA" w:rsidSect="005D6476">
      <w:headerReference w:type="default" r:id="rId10"/>
      <w:pgSz w:w="11907" w:h="16840" w:code="9"/>
      <w:pgMar w:top="851" w:right="567" w:bottom="454" w:left="1134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65" w:rsidRDefault="00146C65">
      <w:r>
        <w:separator/>
      </w:r>
    </w:p>
  </w:endnote>
  <w:endnote w:type="continuationSeparator" w:id="0">
    <w:p w:rsidR="00146C65" w:rsidRDefault="0014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65" w:rsidRDefault="00146C65">
      <w:r>
        <w:separator/>
      </w:r>
    </w:p>
  </w:footnote>
  <w:footnote w:type="continuationSeparator" w:id="0">
    <w:p w:rsidR="00146C65" w:rsidRDefault="00146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65" w:rsidRDefault="00146C65" w:rsidP="00524A8C">
    <w:pPr>
      <w:pStyle w:val="Cabealho"/>
      <w:jc w:val="right"/>
      <w:rPr>
        <w:rStyle w:val="Nmerodepgina"/>
        <w:rFonts w:ascii="Arial" w:hAnsi="Arial" w:cs="Arial"/>
      </w:rPr>
    </w:pPr>
    <w:r w:rsidRPr="0093382D">
      <w:rPr>
        <w:rFonts w:ascii="Arial" w:hAnsi="Arial" w:cs="Arial"/>
      </w:rPr>
      <w:t xml:space="preserve">Portaria SPE/MME </w:t>
    </w:r>
    <w:proofErr w:type="gramStart"/>
    <w:r w:rsidRPr="0093382D">
      <w:rPr>
        <w:rFonts w:ascii="Arial" w:hAnsi="Arial" w:cs="Arial"/>
      </w:rPr>
      <w:t>n</w:t>
    </w:r>
    <w:r w:rsidRPr="0093382D">
      <w:rPr>
        <w:rFonts w:ascii="Arial" w:hAnsi="Arial" w:cs="Arial"/>
        <w:u w:val="words"/>
        <w:vertAlign w:val="superscript"/>
      </w:rPr>
      <w:t>o</w:t>
    </w:r>
    <w:r w:rsidRPr="0093382D">
      <w:rPr>
        <w:rFonts w:ascii="Arial" w:hAnsi="Arial" w:cs="Arial"/>
      </w:rPr>
      <w:t xml:space="preserve"> </w:t>
    </w:r>
    <w:r>
      <w:rPr>
        <w:rFonts w:ascii="Arial" w:hAnsi="Arial" w:cs="Arial"/>
      </w:rPr>
      <w:t>122</w:t>
    </w:r>
    <w:proofErr w:type="gramEnd"/>
    <w:r w:rsidRPr="0093382D">
      <w:rPr>
        <w:rFonts w:ascii="Arial" w:hAnsi="Arial" w:cs="Arial"/>
      </w:rPr>
      <w:t xml:space="preserve">, de </w:t>
    </w:r>
    <w:r>
      <w:rPr>
        <w:rFonts w:ascii="Arial" w:hAnsi="Arial" w:cs="Arial"/>
      </w:rPr>
      <w:t>2</w:t>
    </w:r>
    <w:r w:rsidR="00DA47BF">
      <w:rPr>
        <w:rFonts w:ascii="Arial" w:hAnsi="Arial" w:cs="Arial"/>
      </w:rPr>
      <w:t>5</w:t>
    </w:r>
    <w:r w:rsidRPr="0093382D">
      <w:rPr>
        <w:rFonts w:ascii="Arial" w:hAnsi="Arial" w:cs="Arial"/>
      </w:rPr>
      <w:t xml:space="preserve"> de </w:t>
    </w:r>
    <w:r>
      <w:rPr>
        <w:rFonts w:ascii="Arial" w:hAnsi="Arial" w:cs="Arial"/>
      </w:rPr>
      <w:t xml:space="preserve">abril </w:t>
    </w:r>
    <w:r w:rsidRPr="0093382D">
      <w:rPr>
        <w:rFonts w:ascii="Arial" w:hAnsi="Arial" w:cs="Arial"/>
      </w:rPr>
      <w:t>de 201</w:t>
    </w:r>
    <w:r>
      <w:rPr>
        <w:rFonts w:ascii="Arial" w:hAnsi="Arial" w:cs="Arial"/>
      </w:rPr>
      <w:t>4</w:t>
    </w:r>
    <w:r w:rsidRPr="0093382D">
      <w:rPr>
        <w:rFonts w:ascii="Arial" w:hAnsi="Arial" w:cs="Arial"/>
      </w:rPr>
      <w:t xml:space="preserve"> - fl. </w:t>
    </w:r>
    <w:r w:rsidRPr="0093382D">
      <w:rPr>
        <w:rStyle w:val="Nmerodepgina"/>
        <w:rFonts w:ascii="Arial" w:hAnsi="Arial" w:cs="Arial"/>
      </w:rPr>
      <w:fldChar w:fldCharType="begin"/>
    </w:r>
    <w:r w:rsidRPr="0093382D">
      <w:rPr>
        <w:rStyle w:val="Nmerodepgina"/>
        <w:rFonts w:ascii="Arial" w:hAnsi="Arial" w:cs="Arial"/>
      </w:rPr>
      <w:instrText xml:space="preserve"> PAGE </w:instrText>
    </w:r>
    <w:r w:rsidRPr="0093382D">
      <w:rPr>
        <w:rStyle w:val="Nmerodepgina"/>
        <w:rFonts w:ascii="Arial" w:hAnsi="Arial" w:cs="Arial"/>
      </w:rPr>
      <w:fldChar w:fldCharType="separate"/>
    </w:r>
    <w:r w:rsidR="00C854AA">
      <w:rPr>
        <w:rStyle w:val="Nmerodepgina"/>
        <w:rFonts w:ascii="Arial" w:hAnsi="Arial" w:cs="Arial"/>
        <w:noProof/>
      </w:rPr>
      <w:t>2</w:t>
    </w:r>
    <w:r w:rsidRPr="0093382D">
      <w:rPr>
        <w:rStyle w:val="Nmerodepgina"/>
        <w:rFonts w:ascii="Arial" w:hAnsi="Arial" w:cs="Arial"/>
      </w:rPr>
      <w:fldChar w:fldCharType="end"/>
    </w:r>
  </w:p>
  <w:p w:rsidR="00146C65" w:rsidRPr="00524A8C" w:rsidRDefault="00146C65" w:rsidP="00524A8C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  <w:p w:rsidR="00146C65" w:rsidRPr="00524A8C" w:rsidRDefault="00146C65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6EC"/>
    <w:multiLevelType w:val="hybridMultilevel"/>
    <w:tmpl w:val="59126C5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BE45F81"/>
    <w:multiLevelType w:val="hybridMultilevel"/>
    <w:tmpl w:val="69FC44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65EA1"/>
    <w:multiLevelType w:val="hybridMultilevel"/>
    <w:tmpl w:val="3030E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6">
    <w:nsid w:val="23F40042"/>
    <w:multiLevelType w:val="hybridMultilevel"/>
    <w:tmpl w:val="FF96B5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2EC1567A"/>
    <w:multiLevelType w:val="hybridMultilevel"/>
    <w:tmpl w:val="B69E7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4F2B8D"/>
    <w:multiLevelType w:val="hybridMultilevel"/>
    <w:tmpl w:val="1B2019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outline w:val="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8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59CD687B"/>
    <w:multiLevelType w:val="hybridMultilevel"/>
    <w:tmpl w:val="5C64E6FE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EA6942"/>
    <w:multiLevelType w:val="hybridMultilevel"/>
    <w:tmpl w:val="40B267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8B12507"/>
    <w:multiLevelType w:val="hybridMultilevel"/>
    <w:tmpl w:val="556ED7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A403E10"/>
    <w:multiLevelType w:val="hybridMultilevel"/>
    <w:tmpl w:val="47C8213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E415894"/>
    <w:multiLevelType w:val="hybridMultilevel"/>
    <w:tmpl w:val="B13CF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2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7"/>
  </w:num>
  <w:num w:numId="9">
    <w:abstractNumId w:val="23"/>
  </w:num>
  <w:num w:numId="10">
    <w:abstractNumId w:val="11"/>
  </w:num>
  <w:num w:numId="11">
    <w:abstractNumId w:val="14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18"/>
  </w:num>
  <w:num w:numId="15">
    <w:abstractNumId w:val="15"/>
  </w:num>
  <w:num w:numId="16">
    <w:abstractNumId w:val="13"/>
  </w:num>
  <w:num w:numId="17">
    <w:abstractNumId w:val="17"/>
  </w:num>
  <w:num w:numId="18">
    <w:abstractNumId w:val="9"/>
  </w:num>
  <w:num w:numId="19">
    <w:abstractNumId w:val="20"/>
  </w:num>
  <w:num w:numId="20">
    <w:abstractNumId w:val="22"/>
  </w:num>
  <w:num w:numId="21">
    <w:abstractNumId w:val="16"/>
  </w:num>
  <w:num w:numId="22">
    <w:abstractNumId w:val="6"/>
  </w:num>
  <w:num w:numId="23">
    <w:abstractNumId w:val="10"/>
  </w:num>
  <w:num w:numId="24">
    <w:abstractNumId w:val="27"/>
  </w:num>
  <w:num w:numId="25">
    <w:abstractNumId w:val="2"/>
  </w:num>
  <w:num w:numId="26">
    <w:abstractNumId w:val="4"/>
  </w:num>
  <w:num w:numId="27">
    <w:abstractNumId w:val="26"/>
  </w:num>
  <w:num w:numId="28">
    <w:abstractNumId w:val="19"/>
  </w:num>
  <w:num w:numId="2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5E44"/>
    <w:rsid w:val="0000693E"/>
    <w:rsid w:val="000072A0"/>
    <w:rsid w:val="00007480"/>
    <w:rsid w:val="00007682"/>
    <w:rsid w:val="00010332"/>
    <w:rsid w:val="0001055D"/>
    <w:rsid w:val="00010A53"/>
    <w:rsid w:val="000112B8"/>
    <w:rsid w:val="0001158B"/>
    <w:rsid w:val="00011DC5"/>
    <w:rsid w:val="00013485"/>
    <w:rsid w:val="00014EBF"/>
    <w:rsid w:val="00015BF8"/>
    <w:rsid w:val="00015E97"/>
    <w:rsid w:val="00015FC1"/>
    <w:rsid w:val="00016F7A"/>
    <w:rsid w:val="0002110B"/>
    <w:rsid w:val="000222FB"/>
    <w:rsid w:val="0002322C"/>
    <w:rsid w:val="00023441"/>
    <w:rsid w:val="00023BEC"/>
    <w:rsid w:val="000252DB"/>
    <w:rsid w:val="000256C3"/>
    <w:rsid w:val="000257EE"/>
    <w:rsid w:val="00025CE2"/>
    <w:rsid w:val="00026A30"/>
    <w:rsid w:val="000279CB"/>
    <w:rsid w:val="00027C60"/>
    <w:rsid w:val="00027EC2"/>
    <w:rsid w:val="00033089"/>
    <w:rsid w:val="000337A3"/>
    <w:rsid w:val="00033FA7"/>
    <w:rsid w:val="00034E24"/>
    <w:rsid w:val="0003637D"/>
    <w:rsid w:val="00036553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C93"/>
    <w:rsid w:val="00060F6E"/>
    <w:rsid w:val="00061636"/>
    <w:rsid w:val="00062214"/>
    <w:rsid w:val="0006246B"/>
    <w:rsid w:val="00062AFA"/>
    <w:rsid w:val="00062C29"/>
    <w:rsid w:val="000644B5"/>
    <w:rsid w:val="000650B5"/>
    <w:rsid w:val="0006574F"/>
    <w:rsid w:val="00065ABD"/>
    <w:rsid w:val="000677F4"/>
    <w:rsid w:val="00067869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16D6"/>
    <w:rsid w:val="00081AAA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569"/>
    <w:rsid w:val="00093417"/>
    <w:rsid w:val="0009341F"/>
    <w:rsid w:val="00093ACA"/>
    <w:rsid w:val="00093D52"/>
    <w:rsid w:val="00096657"/>
    <w:rsid w:val="00097543"/>
    <w:rsid w:val="00097ADF"/>
    <w:rsid w:val="000A0F6B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B6D"/>
    <w:rsid w:val="000B7BF6"/>
    <w:rsid w:val="000B7DF0"/>
    <w:rsid w:val="000C073A"/>
    <w:rsid w:val="000C0DFD"/>
    <w:rsid w:val="000C2F4B"/>
    <w:rsid w:val="000C340C"/>
    <w:rsid w:val="000C4A91"/>
    <w:rsid w:val="000C4E0A"/>
    <w:rsid w:val="000C4F13"/>
    <w:rsid w:val="000C52BB"/>
    <w:rsid w:val="000C569E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F0750"/>
    <w:rsid w:val="000F083B"/>
    <w:rsid w:val="000F17A6"/>
    <w:rsid w:val="000F204C"/>
    <w:rsid w:val="000F3886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1D90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6375"/>
    <w:rsid w:val="001165BE"/>
    <w:rsid w:val="001167BF"/>
    <w:rsid w:val="0011799B"/>
    <w:rsid w:val="00117C33"/>
    <w:rsid w:val="001206B2"/>
    <w:rsid w:val="00120FC1"/>
    <w:rsid w:val="00121DA0"/>
    <w:rsid w:val="00122B17"/>
    <w:rsid w:val="00123851"/>
    <w:rsid w:val="00125CA4"/>
    <w:rsid w:val="00125F0D"/>
    <w:rsid w:val="0012778B"/>
    <w:rsid w:val="00127A77"/>
    <w:rsid w:val="00130A8D"/>
    <w:rsid w:val="001332A9"/>
    <w:rsid w:val="00133F2B"/>
    <w:rsid w:val="00134D06"/>
    <w:rsid w:val="0013534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EF0"/>
    <w:rsid w:val="00162FC5"/>
    <w:rsid w:val="00163420"/>
    <w:rsid w:val="00164169"/>
    <w:rsid w:val="001656F7"/>
    <w:rsid w:val="00165A26"/>
    <w:rsid w:val="00165FDE"/>
    <w:rsid w:val="00167C82"/>
    <w:rsid w:val="00170C46"/>
    <w:rsid w:val="00174EA6"/>
    <w:rsid w:val="00175A33"/>
    <w:rsid w:val="00175BB2"/>
    <w:rsid w:val="00180385"/>
    <w:rsid w:val="00181D15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7367"/>
    <w:rsid w:val="00197850"/>
    <w:rsid w:val="00197A89"/>
    <w:rsid w:val="001A009A"/>
    <w:rsid w:val="001A022C"/>
    <w:rsid w:val="001A063A"/>
    <w:rsid w:val="001A0E18"/>
    <w:rsid w:val="001A1A9D"/>
    <w:rsid w:val="001A1D63"/>
    <w:rsid w:val="001A213C"/>
    <w:rsid w:val="001A2523"/>
    <w:rsid w:val="001A61D0"/>
    <w:rsid w:val="001A6249"/>
    <w:rsid w:val="001A7DB8"/>
    <w:rsid w:val="001B0A91"/>
    <w:rsid w:val="001B155B"/>
    <w:rsid w:val="001B1E58"/>
    <w:rsid w:val="001B2E11"/>
    <w:rsid w:val="001B38F7"/>
    <w:rsid w:val="001B5CC9"/>
    <w:rsid w:val="001B7587"/>
    <w:rsid w:val="001C001C"/>
    <w:rsid w:val="001C0930"/>
    <w:rsid w:val="001C1983"/>
    <w:rsid w:val="001C1B81"/>
    <w:rsid w:val="001C2684"/>
    <w:rsid w:val="001C44BC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74FA"/>
    <w:rsid w:val="001D7B47"/>
    <w:rsid w:val="001E0773"/>
    <w:rsid w:val="001E077F"/>
    <w:rsid w:val="001E1CC7"/>
    <w:rsid w:val="001E1EF4"/>
    <w:rsid w:val="001E41C7"/>
    <w:rsid w:val="001E490E"/>
    <w:rsid w:val="001E583D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4BD8"/>
    <w:rsid w:val="002064FC"/>
    <w:rsid w:val="0020653C"/>
    <w:rsid w:val="00206AF2"/>
    <w:rsid w:val="002104D7"/>
    <w:rsid w:val="002106EC"/>
    <w:rsid w:val="002117AC"/>
    <w:rsid w:val="00211867"/>
    <w:rsid w:val="00211DA3"/>
    <w:rsid w:val="00212DC8"/>
    <w:rsid w:val="00212F1A"/>
    <w:rsid w:val="00213461"/>
    <w:rsid w:val="002135F0"/>
    <w:rsid w:val="002138A6"/>
    <w:rsid w:val="00213D10"/>
    <w:rsid w:val="002140F9"/>
    <w:rsid w:val="002144C1"/>
    <w:rsid w:val="00214B86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E2C"/>
    <w:rsid w:val="0025183F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15FA"/>
    <w:rsid w:val="00281B2E"/>
    <w:rsid w:val="00281F1A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780"/>
    <w:rsid w:val="002957B4"/>
    <w:rsid w:val="0029684C"/>
    <w:rsid w:val="002A0570"/>
    <w:rsid w:val="002A1DCD"/>
    <w:rsid w:val="002A1F2E"/>
    <w:rsid w:val="002A2182"/>
    <w:rsid w:val="002A322C"/>
    <w:rsid w:val="002A3836"/>
    <w:rsid w:val="002A3AB3"/>
    <w:rsid w:val="002A45AB"/>
    <w:rsid w:val="002A49EB"/>
    <w:rsid w:val="002A4B97"/>
    <w:rsid w:val="002A5443"/>
    <w:rsid w:val="002A64B6"/>
    <w:rsid w:val="002A66A3"/>
    <w:rsid w:val="002A6DD1"/>
    <w:rsid w:val="002B26D8"/>
    <w:rsid w:val="002B37B8"/>
    <w:rsid w:val="002B6DCB"/>
    <w:rsid w:val="002B72FE"/>
    <w:rsid w:val="002C0706"/>
    <w:rsid w:val="002C19B8"/>
    <w:rsid w:val="002C2292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3295"/>
    <w:rsid w:val="002D4084"/>
    <w:rsid w:val="002D4652"/>
    <w:rsid w:val="002D4A8A"/>
    <w:rsid w:val="002D4D1B"/>
    <w:rsid w:val="002D53D3"/>
    <w:rsid w:val="002D5AB2"/>
    <w:rsid w:val="002D66E9"/>
    <w:rsid w:val="002D703C"/>
    <w:rsid w:val="002D73A0"/>
    <w:rsid w:val="002D75EE"/>
    <w:rsid w:val="002D75F1"/>
    <w:rsid w:val="002E0560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6301"/>
    <w:rsid w:val="002E6962"/>
    <w:rsid w:val="002E6C0A"/>
    <w:rsid w:val="002F179C"/>
    <w:rsid w:val="002F19D6"/>
    <w:rsid w:val="002F2109"/>
    <w:rsid w:val="002F3F08"/>
    <w:rsid w:val="002F492D"/>
    <w:rsid w:val="002F4A23"/>
    <w:rsid w:val="002F4EAE"/>
    <w:rsid w:val="002F59F3"/>
    <w:rsid w:val="002F6015"/>
    <w:rsid w:val="002F704C"/>
    <w:rsid w:val="002F7283"/>
    <w:rsid w:val="002F74F3"/>
    <w:rsid w:val="002F7EEA"/>
    <w:rsid w:val="0030151A"/>
    <w:rsid w:val="00301758"/>
    <w:rsid w:val="00302BE7"/>
    <w:rsid w:val="00303216"/>
    <w:rsid w:val="00304537"/>
    <w:rsid w:val="00304976"/>
    <w:rsid w:val="00305E01"/>
    <w:rsid w:val="00305F3F"/>
    <w:rsid w:val="0031071F"/>
    <w:rsid w:val="00310F21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4839"/>
    <w:rsid w:val="003254FB"/>
    <w:rsid w:val="00325932"/>
    <w:rsid w:val="00330AD8"/>
    <w:rsid w:val="00331612"/>
    <w:rsid w:val="00331724"/>
    <w:rsid w:val="00333D71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6499"/>
    <w:rsid w:val="00356B06"/>
    <w:rsid w:val="00356D39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124"/>
    <w:rsid w:val="003861A3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68"/>
    <w:rsid w:val="003B5611"/>
    <w:rsid w:val="003C0A98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44A5"/>
    <w:rsid w:val="00414FC5"/>
    <w:rsid w:val="004151ED"/>
    <w:rsid w:val="00415494"/>
    <w:rsid w:val="0041568A"/>
    <w:rsid w:val="0041607E"/>
    <w:rsid w:val="0041644F"/>
    <w:rsid w:val="00416C99"/>
    <w:rsid w:val="00420997"/>
    <w:rsid w:val="00420C43"/>
    <w:rsid w:val="00421840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4116E"/>
    <w:rsid w:val="0044158F"/>
    <w:rsid w:val="00441B1B"/>
    <w:rsid w:val="00442384"/>
    <w:rsid w:val="00442411"/>
    <w:rsid w:val="00442441"/>
    <w:rsid w:val="004425BC"/>
    <w:rsid w:val="00443E91"/>
    <w:rsid w:val="00445295"/>
    <w:rsid w:val="00445B93"/>
    <w:rsid w:val="00445E88"/>
    <w:rsid w:val="00446D6B"/>
    <w:rsid w:val="00451883"/>
    <w:rsid w:val="00451C44"/>
    <w:rsid w:val="004528E5"/>
    <w:rsid w:val="00452CB1"/>
    <w:rsid w:val="00453C75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B5F"/>
    <w:rsid w:val="00497337"/>
    <w:rsid w:val="004A027F"/>
    <w:rsid w:val="004A084D"/>
    <w:rsid w:val="004A1395"/>
    <w:rsid w:val="004A2C1A"/>
    <w:rsid w:val="004A408E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CDE"/>
    <w:rsid w:val="004F2F3A"/>
    <w:rsid w:val="004F3E78"/>
    <w:rsid w:val="004F45F0"/>
    <w:rsid w:val="004F49ED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B21"/>
    <w:rsid w:val="00507972"/>
    <w:rsid w:val="00510D4F"/>
    <w:rsid w:val="005124E5"/>
    <w:rsid w:val="00512600"/>
    <w:rsid w:val="005129E6"/>
    <w:rsid w:val="00512A63"/>
    <w:rsid w:val="0051333D"/>
    <w:rsid w:val="00513E83"/>
    <w:rsid w:val="005140C5"/>
    <w:rsid w:val="005144B1"/>
    <w:rsid w:val="005146C7"/>
    <w:rsid w:val="0051588E"/>
    <w:rsid w:val="00516232"/>
    <w:rsid w:val="00516267"/>
    <w:rsid w:val="005169EA"/>
    <w:rsid w:val="00517C8C"/>
    <w:rsid w:val="00520106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C39"/>
    <w:rsid w:val="00531A33"/>
    <w:rsid w:val="00531BF9"/>
    <w:rsid w:val="005326FC"/>
    <w:rsid w:val="00533975"/>
    <w:rsid w:val="00534247"/>
    <w:rsid w:val="00534BB1"/>
    <w:rsid w:val="0053558C"/>
    <w:rsid w:val="00535A4B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FB0"/>
    <w:rsid w:val="00556559"/>
    <w:rsid w:val="00556BC2"/>
    <w:rsid w:val="00556E02"/>
    <w:rsid w:val="005575BA"/>
    <w:rsid w:val="005578FF"/>
    <w:rsid w:val="00560207"/>
    <w:rsid w:val="00560228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1A06"/>
    <w:rsid w:val="00571E93"/>
    <w:rsid w:val="00572DA4"/>
    <w:rsid w:val="00573632"/>
    <w:rsid w:val="005742E9"/>
    <w:rsid w:val="00575978"/>
    <w:rsid w:val="00575A50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BB9"/>
    <w:rsid w:val="00596B4D"/>
    <w:rsid w:val="00597536"/>
    <w:rsid w:val="005A0C76"/>
    <w:rsid w:val="005A182A"/>
    <w:rsid w:val="005A1C3F"/>
    <w:rsid w:val="005A2471"/>
    <w:rsid w:val="005A26AB"/>
    <w:rsid w:val="005A3479"/>
    <w:rsid w:val="005A34B5"/>
    <w:rsid w:val="005A37EA"/>
    <w:rsid w:val="005A3A10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15EC"/>
    <w:rsid w:val="005E18CC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564"/>
    <w:rsid w:val="005F0F7F"/>
    <w:rsid w:val="005F157A"/>
    <w:rsid w:val="005F1839"/>
    <w:rsid w:val="005F329C"/>
    <w:rsid w:val="005F5853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C00"/>
    <w:rsid w:val="00623D99"/>
    <w:rsid w:val="00624A52"/>
    <w:rsid w:val="00624B3F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B25"/>
    <w:rsid w:val="00655BB2"/>
    <w:rsid w:val="0065712E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B8C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E17"/>
    <w:rsid w:val="00683F3C"/>
    <w:rsid w:val="00686532"/>
    <w:rsid w:val="006878F3"/>
    <w:rsid w:val="00687EF0"/>
    <w:rsid w:val="0069020C"/>
    <w:rsid w:val="00690B52"/>
    <w:rsid w:val="00690B59"/>
    <w:rsid w:val="00691668"/>
    <w:rsid w:val="00691AD0"/>
    <w:rsid w:val="00691DE3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9CA"/>
    <w:rsid w:val="006C4056"/>
    <w:rsid w:val="006C4296"/>
    <w:rsid w:val="006C438E"/>
    <w:rsid w:val="006C4C0F"/>
    <w:rsid w:val="006C5498"/>
    <w:rsid w:val="006C5EE8"/>
    <w:rsid w:val="006C628A"/>
    <w:rsid w:val="006C7104"/>
    <w:rsid w:val="006C7287"/>
    <w:rsid w:val="006C7397"/>
    <w:rsid w:val="006C768A"/>
    <w:rsid w:val="006C7E53"/>
    <w:rsid w:val="006D1281"/>
    <w:rsid w:val="006D1E2F"/>
    <w:rsid w:val="006D3C33"/>
    <w:rsid w:val="006D44CD"/>
    <w:rsid w:val="006D467E"/>
    <w:rsid w:val="006D49EE"/>
    <w:rsid w:val="006D5A05"/>
    <w:rsid w:val="006D5FE8"/>
    <w:rsid w:val="006D6214"/>
    <w:rsid w:val="006D6D9F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6DCA"/>
    <w:rsid w:val="006E7949"/>
    <w:rsid w:val="006F1726"/>
    <w:rsid w:val="006F1991"/>
    <w:rsid w:val="006F327C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10435"/>
    <w:rsid w:val="00711B48"/>
    <w:rsid w:val="00711C88"/>
    <w:rsid w:val="00714AEE"/>
    <w:rsid w:val="00714C92"/>
    <w:rsid w:val="00715171"/>
    <w:rsid w:val="00715E96"/>
    <w:rsid w:val="0071622F"/>
    <w:rsid w:val="00716F00"/>
    <w:rsid w:val="00717A1C"/>
    <w:rsid w:val="00717E17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3DB7"/>
    <w:rsid w:val="00733EB5"/>
    <w:rsid w:val="0073417B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5221"/>
    <w:rsid w:val="007459EB"/>
    <w:rsid w:val="00745E92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B44"/>
    <w:rsid w:val="00754CDB"/>
    <w:rsid w:val="00755A36"/>
    <w:rsid w:val="007566E8"/>
    <w:rsid w:val="00756AB2"/>
    <w:rsid w:val="00756C99"/>
    <w:rsid w:val="00757C02"/>
    <w:rsid w:val="00760307"/>
    <w:rsid w:val="007603E3"/>
    <w:rsid w:val="007619C3"/>
    <w:rsid w:val="00762862"/>
    <w:rsid w:val="00762A67"/>
    <w:rsid w:val="00762DED"/>
    <w:rsid w:val="00763602"/>
    <w:rsid w:val="00763C02"/>
    <w:rsid w:val="00764AA7"/>
    <w:rsid w:val="0076568C"/>
    <w:rsid w:val="007657F9"/>
    <w:rsid w:val="0076783A"/>
    <w:rsid w:val="00767DE5"/>
    <w:rsid w:val="00767F31"/>
    <w:rsid w:val="00770416"/>
    <w:rsid w:val="00770B91"/>
    <w:rsid w:val="0077139A"/>
    <w:rsid w:val="0077158D"/>
    <w:rsid w:val="0077201B"/>
    <w:rsid w:val="007723B3"/>
    <w:rsid w:val="00772D2F"/>
    <w:rsid w:val="0077320E"/>
    <w:rsid w:val="0077333B"/>
    <w:rsid w:val="007738C5"/>
    <w:rsid w:val="00773950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95D"/>
    <w:rsid w:val="007B55EE"/>
    <w:rsid w:val="007B5F58"/>
    <w:rsid w:val="007B6420"/>
    <w:rsid w:val="007B6B47"/>
    <w:rsid w:val="007B7918"/>
    <w:rsid w:val="007C0097"/>
    <w:rsid w:val="007C084B"/>
    <w:rsid w:val="007C0F12"/>
    <w:rsid w:val="007C0FCF"/>
    <w:rsid w:val="007C174D"/>
    <w:rsid w:val="007C2BFB"/>
    <w:rsid w:val="007C2F3D"/>
    <w:rsid w:val="007C3F12"/>
    <w:rsid w:val="007C5D7F"/>
    <w:rsid w:val="007C6E20"/>
    <w:rsid w:val="007C70D4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A3B"/>
    <w:rsid w:val="007E280B"/>
    <w:rsid w:val="007E324E"/>
    <w:rsid w:val="007E37B1"/>
    <w:rsid w:val="007E46A3"/>
    <w:rsid w:val="007E48B5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768F"/>
    <w:rsid w:val="00817F79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4D5"/>
    <w:rsid w:val="00871D8D"/>
    <w:rsid w:val="00872F5B"/>
    <w:rsid w:val="00874E9F"/>
    <w:rsid w:val="00874F52"/>
    <w:rsid w:val="00877F82"/>
    <w:rsid w:val="00880DAE"/>
    <w:rsid w:val="008834C1"/>
    <w:rsid w:val="00883C0B"/>
    <w:rsid w:val="008848FD"/>
    <w:rsid w:val="00884CC8"/>
    <w:rsid w:val="0088686E"/>
    <w:rsid w:val="00890AD1"/>
    <w:rsid w:val="00891F82"/>
    <w:rsid w:val="0089220E"/>
    <w:rsid w:val="008923EB"/>
    <w:rsid w:val="008938AD"/>
    <w:rsid w:val="0089454C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580"/>
    <w:rsid w:val="008B6D6C"/>
    <w:rsid w:val="008B7101"/>
    <w:rsid w:val="008B7140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6F5B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5C69"/>
    <w:rsid w:val="00905DA8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52B8"/>
    <w:rsid w:val="00926502"/>
    <w:rsid w:val="009279B0"/>
    <w:rsid w:val="00930418"/>
    <w:rsid w:val="009306A4"/>
    <w:rsid w:val="00930976"/>
    <w:rsid w:val="00930A0B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61003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5244"/>
    <w:rsid w:val="009753CA"/>
    <w:rsid w:val="009754C1"/>
    <w:rsid w:val="009756CA"/>
    <w:rsid w:val="00976214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829"/>
    <w:rsid w:val="00986A1A"/>
    <w:rsid w:val="00986E61"/>
    <w:rsid w:val="00987925"/>
    <w:rsid w:val="009929CD"/>
    <w:rsid w:val="00992C5B"/>
    <w:rsid w:val="00995130"/>
    <w:rsid w:val="00995306"/>
    <w:rsid w:val="00996565"/>
    <w:rsid w:val="00997593"/>
    <w:rsid w:val="009A03C3"/>
    <w:rsid w:val="009A225C"/>
    <w:rsid w:val="009A3400"/>
    <w:rsid w:val="009A5B5E"/>
    <w:rsid w:val="009A5FA2"/>
    <w:rsid w:val="009A62F9"/>
    <w:rsid w:val="009A6589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6EC"/>
    <w:rsid w:val="009B64B0"/>
    <w:rsid w:val="009B6532"/>
    <w:rsid w:val="009B7205"/>
    <w:rsid w:val="009B73BB"/>
    <w:rsid w:val="009C04FC"/>
    <w:rsid w:val="009C1994"/>
    <w:rsid w:val="009C3D6D"/>
    <w:rsid w:val="009C3E56"/>
    <w:rsid w:val="009C5572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5D2"/>
    <w:rsid w:val="009D1996"/>
    <w:rsid w:val="009D1AD3"/>
    <w:rsid w:val="009D23D8"/>
    <w:rsid w:val="009D2695"/>
    <w:rsid w:val="009D40AF"/>
    <w:rsid w:val="009D611D"/>
    <w:rsid w:val="009D6479"/>
    <w:rsid w:val="009D70CB"/>
    <w:rsid w:val="009D7A8F"/>
    <w:rsid w:val="009D7BE5"/>
    <w:rsid w:val="009E012D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53E5"/>
    <w:rsid w:val="009F5402"/>
    <w:rsid w:val="009F5D3C"/>
    <w:rsid w:val="009F642B"/>
    <w:rsid w:val="009F7C48"/>
    <w:rsid w:val="00A00720"/>
    <w:rsid w:val="00A00F84"/>
    <w:rsid w:val="00A0128E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78F"/>
    <w:rsid w:val="00A23903"/>
    <w:rsid w:val="00A23D98"/>
    <w:rsid w:val="00A2531A"/>
    <w:rsid w:val="00A26A3B"/>
    <w:rsid w:val="00A26B7E"/>
    <w:rsid w:val="00A279F4"/>
    <w:rsid w:val="00A316C1"/>
    <w:rsid w:val="00A3200F"/>
    <w:rsid w:val="00A32DD9"/>
    <w:rsid w:val="00A32F0A"/>
    <w:rsid w:val="00A33D47"/>
    <w:rsid w:val="00A3410F"/>
    <w:rsid w:val="00A35371"/>
    <w:rsid w:val="00A360CA"/>
    <w:rsid w:val="00A36610"/>
    <w:rsid w:val="00A377C6"/>
    <w:rsid w:val="00A407DF"/>
    <w:rsid w:val="00A40AC0"/>
    <w:rsid w:val="00A43547"/>
    <w:rsid w:val="00A44333"/>
    <w:rsid w:val="00A44B6F"/>
    <w:rsid w:val="00A45057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1148"/>
    <w:rsid w:val="00A920C3"/>
    <w:rsid w:val="00A92430"/>
    <w:rsid w:val="00A93875"/>
    <w:rsid w:val="00A94319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FF3"/>
    <w:rsid w:val="00AA52B7"/>
    <w:rsid w:val="00AA53B6"/>
    <w:rsid w:val="00AA64C5"/>
    <w:rsid w:val="00AA64F0"/>
    <w:rsid w:val="00AB0738"/>
    <w:rsid w:val="00AB28D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A8C"/>
    <w:rsid w:val="00AC739C"/>
    <w:rsid w:val="00AD107D"/>
    <w:rsid w:val="00AD1387"/>
    <w:rsid w:val="00AD20E3"/>
    <w:rsid w:val="00AD2340"/>
    <w:rsid w:val="00AD244C"/>
    <w:rsid w:val="00AD379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59E6"/>
    <w:rsid w:val="00AF65F9"/>
    <w:rsid w:val="00AF77A1"/>
    <w:rsid w:val="00AF78B0"/>
    <w:rsid w:val="00B0127A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93"/>
    <w:rsid w:val="00B114EB"/>
    <w:rsid w:val="00B11691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656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BA9"/>
    <w:rsid w:val="00B60414"/>
    <w:rsid w:val="00B60711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E17"/>
    <w:rsid w:val="00B76F9A"/>
    <w:rsid w:val="00B77552"/>
    <w:rsid w:val="00B80632"/>
    <w:rsid w:val="00B81ACB"/>
    <w:rsid w:val="00B82195"/>
    <w:rsid w:val="00B85F99"/>
    <w:rsid w:val="00B86409"/>
    <w:rsid w:val="00B866D6"/>
    <w:rsid w:val="00B86E30"/>
    <w:rsid w:val="00B8776C"/>
    <w:rsid w:val="00B900BE"/>
    <w:rsid w:val="00B902B1"/>
    <w:rsid w:val="00B90BE7"/>
    <w:rsid w:val="00B91DD1"/>
    <w:rsid w:val="00B9368B"/>
    <w:rsid w:val="00B93789"/>
    <w:rsid w:val="00B94C7D"/>
    <w:rsid w:val="00B956C9"/>
    <w:rsid w:val="00B95D5D"/>
    <w:rsid w:val="00B9618E"/>
    <w:rsid w:val="00B96457"/>
    <w:rsid w:val="00BA0809"/>
    <w:rsid w:val="00BA1735"/>
    <w:rsid w:val="00BA4261"/>
    <w:rsid w:val="00BA4357"/>
    <w:rsid w:val="00BA4E8A"/>
    <w:rsid w:val="00BA5EE2"/>
    <w:rsid w:val="00BA6034"/>
    <w:rsid w:val="00BA60EA"/>
    <w:rsid w:val="00BA620F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593"/>
    <w:rsid w:val="00BC6AB3"/>
    <w:rsid w:val="00BC723D"/>
    <w:rsid w:val="00BC72B4"/>
    <w:rsid w:val="00BD0DE5"/>
    <w:rsid w:val="00BD22D0"/>
    <w:rsid w:val="00BD35A6"/>
    <w:rsid w:val="00BD38DB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D34"/>
    <w:rsid w:val="00BE2EF7"/>
    <w:rsid w:val="00BE327E"/>
    <w:rsid w:val="00BE4364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9A5"/>
    <w:rsid w:val="00C0182A"/>
    <w:rsid w:val="00C01955"/>
    <w:rsid w:val="00C01E6A"/>
    <w:rsid w:val="00C04221"/>
    <w:rsid w:val="00C05718"/>
    <w:rsid w:val="00C05E21"/>
    <w:rsid w:val="00C05E9E"/>
    <w:rsid w:val="00C114DF"/>
    <w:rsid w:val="00C13132"/>
    <w:rsid w:val="00C139DA"/>
    <w:rsid w:val="00C13B5D"/>
    <w:rsid w:val="00C13ECA"/>
    <w:rsid w:val="00C156CF"/>
    <w:rsid w:val="00C15AF0"/>
    <w:rsid w:val="00C16B03"/>
    <w:rsid w:val="00C16BD6"/>
    <w:rsid w:val="00C17511"/>
    <w:rsid w:val="00C17574"/>
    <w:rsid w:val="00C17912"/>
    <w:rsid w:val="00C17F1F"/>
    <w:rsid w:val="00C2005D"/>
    <w:rsid w:val="00C205AF"/>
    <w:rsid w:val="00C2240E"/>
    <w:rsid w:val="00C23699"/>
    <w:rsid w:val="00C2563C"/>
    <w:rsid w:val="00C269E9"/>
    <w:rsid w:val="00C26F96"/>
    <w:rsid w:val="00C27240"/>
    <w:rsid w:val="00C27538"/>
    <w:rsid w:val="00C27957"/>
    <w:rsid w:val="00C31969"/>
    <w:rsid w:val="00C32E0A"/>
    <w:rsid w:val="00C32FA0"/>
    <w:rsid w:val="00C33473"/>
    <w:rsid w:val="00C34E6C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5CA1"/>
    <w:rsid w:val="00C45CA6"/>
    <w:rsid w:val="00C45DD7"/>
    <w:rsid w:val="00C45DEB"/>
    <w:rsid w:val="00C50937"/>
    <w:rsid w:val="00C5228A"/>
    <w:rsid w:val="00C54157"/>
    <w:rsid w:val="00C54D58"/>
    <w:rsid w:val="00C556C8"/>
    <w:rsid w:val="00C55ABD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E79"/>
    <w:rsid w:val="00C70735"/>
    <w:rsid w:val="00C71997"/>
    <w:rsid w:val="00C727ED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4AA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F4"/>
    <w:rsid w:val="00CB0DB4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F23"/>
    <w:rsid w:val="00CB5135"/>
    <w:rsid w:val="00CB524A"/>
    <w:rsid w:val="00CB597E"/>
    <w:rsid w:val="00CB5AD1"/>
    <w:rsid w:val="00CB5BF1"/>
    <w:rsid w:val="00CB5C75"/>
    <w:rsid w:val="00CB6176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DBB"/>
    <w:rsid w:val="00D01A0A"/>
    <w:rsid w:val="00D01C1F"/>
    <w:rsid w:val="00D04831"/>
    <w:rsid w:val="00D04DAF"/>
    <w:rsid w:val="00D057FD"/>
    <w:rsid w:val="00D07D52"/>
    <w:rsid w:val="00D07E9E"/>
    <w:rsid w:val="00D106A3"/>
    <w:rsid w:val="00D112AB"/>
    <w:rsid w:val="00D117AC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B11"/>
    <w:rsid w:val="00D26510"/>
    <w:rsid w:val="00D269E4"/>
    <w:rsid w:val="00D26EB5"/>
    <w:rsid w:val="00D3188B"/>
    <w:rsid w:val="00D3316E"/>
    <w:rsid w:val="00D35A26"/>
    <w:rsid w:val="00D35AB1"/>
    <w:rsid w:val="00D3784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6021F"/>
    <w:rsid w:val="00D607F9"/>
    <w:rsid w:val="00D626A0"/>
    <w:rsid w:val="00D62C7E"/>
    <w:rsid w:val="00D633A7"/>
    <w:rsid w:val="00D637F9"/>
    <w:rsid w:val="00D63D30"/>
    <w:rsid w:val="00D6470B"/>
    <w:rsid w:val="00D6476C"/>
    <w:rsid w:val="00D64BFA"/>
    <w:rsid w:val="00D669D9"/>
    <w:rsid w:val="00D66C01"/>
    <w:rsid w:val="00D715E8"/>
    <w:rsid w:val="00D71D8A"/>
    <w:rsid w:val="00D72A28"/>
    <w:rsid w:val="00D735C9"/>
    <w:rsid w:val="00D746A4"/>
    <w:rsid w:val="00D760E3"/>
    <w:rsid w:val="00D76A03"/>
    <w:rsid w:val="00D76A1A"/>
    <w:rsid w:val="00D76A87"/>
    <w:rsid w:val="00D7735F"/>
    <w:rsid w:val="00D77797"/>
    <w:rsid w:val="00D7789A"/>
    <w:rsid w:val="00D77D31"/>
    <w:rsid w:val="00D80A24"/>
    <w:rsid w:val="00D81297"/>
    <w:rsid w:val="00D8228B"/>
    <w:rsid w:val="00D82A70"/>
    <w:rsid w:val="00D82AAB"/>
    <w:rsid w:val="00D83835"/>
    <w:rsid w:val="00D84A51"/>
    <w:rsid w:val="00D85921"/>
    <w:rsid w:val="00D86718"/>
    <w:rsid w:val="00D86942"/>
    <w:rsid w:val="00D91C03"/>
    <w:rsid w:val="00D92811"/>
    <w:rsid w:val="00D92F5F"/>
    <w:rsid w:val="00D935D1"/>
    <w:rsid w:val="00D94EEA"/>
    <w:rsid w:val="00D9509F"/>
    <w:rsid w:val="00D96AB4"/>
    <w:rsid w:val="00DA0AF3"/>
    <w:rsid w:val="00DA1358"/>
    <w:rsid w:val="00DA29B8"/>
    <w:rsid w:val="00DA2ABF"/>
    <w:rsid w:val="00DA2C96"/>
    <w:rsid w:val="00DA3396"/>
    <w:rsid w:val="00DA374C"/>
    <w:rsid w:val="00DA433E"/>
    <w:rsid w:val="00DA47BF"/>
    <w:rsid w:val="00DA632F"/>
    <w:rsid w:val="00DA7866"/>
    <w:rsid w:val="00DB0B52"/>
    <w:rsid w:val="00DB1250"/>
    <w:rsid w:val="00DB15A9"/>
    <w:rsid w:val="00DB19D3"/>
    <w:rsid w:val="00DB39D8"/>
    <w:rsid w:val="00DB58A4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72FE"/>
    <w:rsid w:val="00DD1CE8"/>
    <w:rsid w:val="00DD2965"/>
    <w:rsid w:val="00DD2FCE"/>
    <w:rsid w:val="00DD323A"/>
    <w:rsid w:val="00DD32EA"/>
    <w:rsid w:val="00DD5427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395"/>
    <w:rsid w:val="00E10155"/>
    <w:rsid w:val="00E10C17"/>
    <w:rsid w:val="00E11272"/>
    <w:rsid w:val="00E11F98"/>
    <w:rsid w:val="00E13B76"/>
    <w:rsid w:val="00E1497E"/>
    <w:rsid w:val="00E15B09"/>
    <w:rsid w:val="00E214D1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639"/>
    <w:rsid w:val="00E33CF9"/>
    <w:rsid w:val="00E34101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7039"/>
    <w:rsid w:val="00E57910"/>
    <w:rsid w:val="00E57F6C"/>
    <w:rsid w:val="00E61EF7"/>
    <w:rsid w:val="00E621C3"/>
    <w:rsid w:val="00E62AFA"/>
    <w:rsid w:val="00E63272"/>
    <w:rsid w:val="00E63C55"/>
    <w:rsid w:val="00E63CEF"/>
    <w:rsid w:val="00E63F01"/>
    <w:rsid w:val="00E65CBC"/>
    <w:rsid w:val="00E66EC1"/>
    <w:rsid w:val="00E67057"/>
    <w:rsid w:val="00E67337"/>
    <w:rsid w:val="00E67752"/>
    <w:rsid w:val="00E702F3"/>
    <w:rsid w:val="00E70726"/>
    <w:rsid w:val="00E7162E"/>
    <w:rsid w:val="00E72409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A60"/>
    <w:rsid w:val="00E8153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92F"/>
    <w:rsid w:val="00EA0CBC"/>
    <w:rsid w:val="00EA383D"/>
    <w:rsid w:val="00EA3D25"/>
    <w:rsid w:val="00EA3EFE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3CE7"/>
    <w:rsid w:val="00EC417E"/>
    <w:rsid w:val="00EC4766"/>
    <w:rsid w:val="00EC49CF"/>
    <w:rsid w:val="00EC57B7"/>
    <w:rsid w:val="00EC7608"/>
    <w:rsid w:val="00EC7F7D"/>
    <w:rsid w:val="00ED0640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709D"/>
    <w:rsid w:val="00ED756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EDC"/>
    <w:rsid w:val="00F1221F"/>
    <w:rsid w:val="00F12BDF"/>
    <w:rsid w:val="00F132EC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71B6"/>
    <w:rsid w:val="00F374CB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1089"/>
    <w:rsid w:val="00F51DE5"/>
    <w:rsid w:val="00F5204B"/>
    <w:rsid w:val="00F53D3C"/>
    <w:rsid w:val="00F565C6"/>
    <w:rsid w:val="00F56C47"/>
    <w:rsid w:val="00F60F27"/>
    <w:rsid w:val="00F61187"/>
    <w:rsid w:val="00F61DF8"/>
    <w:rsid w:val="00F628FF"/>
    <w:rsid w:val="00F63108"/>
    <w:rsid w:val="00F634C6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A05A8"/>
    <w:rsid w:val="00FA0985"/>
    <w:rsid w:val="00FA12C8"/>
    <w:rsid w:val="00FA2CDF"/>
    <w:rsid w:val="00FA3824"/>
    <w:rsid w:val="00FA441C"/>
    <w:rsid w:val="00FA4BAE"/>
    <w:rsid w:val="00FA64CC"/>
    <w:rsid w:val="00FA6D3C"/>
    <w:rsid w:val="00FA75FF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1FEB"/>
    <w:rsid w:val="00FC22F0"/>
    <w:rsid w:val="00FC26B4"/>
    <w:rsid w:val="00FC2C63"/>
    <w:rsid w:val="00FC2D86"/>
    <w:rsid w:val="00FC340D"/>
    <w:rsid w:val="00FC3C83"/>
    <w:rsid w:val="00FC3F61"/>
    <w:rsid w:val="00FC43D4"/>
    <w:rsid w:val="00FC4836"/>
    <w:rsid w:val="00FC510D"/>
    <w:rsid w:val="00FC67F7"/>
    <w:rsid w:val="00FC7634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E07"/>
    <w:rsid w:val="00FE6801"/>
    <w:rsid w:val="00FE768A"/>
    <w:rsid w:val="00FF016A"/>
    <w:rsid w:val="00FF0C62"/>
    <w:rsid w:val="00FF1A71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able of figures" w:uiPriority="99"/>
    <w:lsdException w:name="Title" w:uiPriority="99" w:qFormat="1"/>
    <w:lsdException w:name="Subtitle" w:qFormat="1"/>
    <w:lsdException w:name="Body Text 2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2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able of figures" w:uiPriority="99"/>
    <w:lsdException w:name="Title" w:uiPriority="99" w:qFormat="1"/>
    <w:lsdException w:name="Subtitle" w:qFormat="1"/>
    <w:lsdException w:name="Body Text 2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2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D5D9E-D5B8-452E-B089-6B5D30AE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47</Pages>
  <Words>12387</Words>
  <Characters>73765</Characters>
  <Application>Microsoft Office Word</Application>
  <DocSecurity>0</DocSecurity>
  <Lines>614</Lines>
  <Paragraphs>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85981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18</cp:revision>
  <cp:lastPrinted>2010-07-14T20:23:00Z</cp:lastPrinted>
  <dcterms:created xsi:type="dcterms:W3CDTF">2014-04-28T12:19:00Z</dcterms:created>
  <dcterms:modified xsi:type="dcterms:W3CDTF">2016-05-12T11:00:00Z</dcterms:modified>
</cp:coreProperties>
</file>